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18DE7" w14:textId="77777777" w:rsidR="00410798" w:rsidRPr="00BD342D" w:rsidRDefault="00410798" w:rsidP="00410798">
      <w:bookmarkStart w:id="0" w:name="_Toc294697361"/>
    </w:p>
    <w:p w14:paraId="453D9EB3" w14:textId="77777777" w:rsidR="00410798" w:rsidRPr="00BD342D" w:rsidRDefault="00410798" w:rsidP="00410798">
      <w:bookmarkStart w:id="1" w:name="_Hlk27388172"/>
    </w:p>
    <w:p w14:paraId="67FE1350" w14:textId="77777777" w:rsidR="00410798" w:rsidRPr="00BD342D" w:rsidRDefault="00410798" w:rsidP="00410798"/>
    <w:p w14:paraId="1937DF8C" w14:textId="77777777" w:rsidR="00410798" w:rsidRPr="00BD342D" w:rsidRDefault="00410798" w:rsidP="00410798"/>
    <w:p w14:paraId="0F87BE87" w14:textId="77777777" w:rsidR="00410798" w:rsidRPr="00BD342D" w:rsidRDefault="00410798" w:rsidP="00410798"/>
    <w:p w14:paraId="65A4EB27" w14:textId="77777777" w:rsidR="00410798" w:rsidRPr="00BD342D" w:rsidRDefault="00410798" w:rsidP="00410798"/>
    <w:p w14:paraId="02DE1428" w14:textId="77777777" w:rsidR="00410798" w:rsidRPr="00BD342D" w:rsidRDefault="00410798" w:rsidP="00410798"/>
    <w:p w14:paraId="1CB805F8" w14:textId="77777777" w:rsidR="00410798" w:rsidRPr="00BD342D" w:rsidRDefault="00410798" w:rsidP="00410798">
      <w:pPr>
        <w:jc w:val="center"/>
        <w:rPr>
          <w:rStyle w:val="Nzevknihy"/>
          <w:smallCaps w:val="0"/>
        </w:rPr>
      </w:pPr>
      <w:r w:rsidRPr="00BD342D">
        <w:rPr>
          <w:b/>
          <w:bCs/>
          <w:noProof/>
          <w:spacing w:val="5"/>
          <w:sz w:val="32"/>
          <w:lang w:eastAsia="cs-CZ"/>
        </w:rPr>
        <w:drawing>
          <wp:inline distT="0" distB="0" distL="0" distR="0" wp14:anchorId="1763ACAB" wp14:editId="65E3D4EA">
            <wp:extent cx="2822366" cy="72726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888" cy="784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C9C0DA" w14:textId="77777777" w:rsidR="00410798" w:rsidRPr="00E25C97" w:rsidRDefault="00410798" w:rsidP="00410798">
      <w:pPr>
        <w:jc w:val="center"/>
        <w:rPr>
          <w:rStyle w:val="Nzevknihy"/>
          <w:rFonts w:cs="Arial"/>
          <w:smallCaps w:val="0"/>
          <w:sz w:val="18"/>
          <w:szCs w:val="18"/>
        </w:rPr>
      </w:pPr>
      <w:r w:rsidRPr="00E25C97">
        <w:rPr>
          <w:rStyle w:val="Nzevknihy"/>
          <w:smallCaps w:val="0"/>
          <w:sz w:val="18"/>
          <w:szCs w:val="18"/>
        </w:rPr>
        <w:t xml:space="preserve">SAKO Brno, </w:t>
      </w:r>
      <w:r w:rsidRPr="00E25C97">
        <w:rPr>
          <w:rStyle w:val="Nzevknihy"/>
          <w:rFonts w:cs="Arial"/>
          <w:smallCaps w:val="0"/>
          <w:sz w:val="18"/>
          <w:szCs w:val="18"/>
        </w:rPr>
        <w:t>a.s., Jedovnická 4247/2, 628 00 Brno</w:t>
      </w:r>
    </w:p>
    <w:p w14:paraId="08F86029" w14:textId="77777777" w:rsidR="00410798" w:rsidRPr="00BD342D" w:rsidRDefault="00410798" w:rsidP="00410798">
      <w:pPr>
        <w:jc w:val="center"/>
        <w:rPr>
          <w:rStyle w:val="Nzevknihy"/>
          <w:smallCaps w:val="0"/>
        </w:rPr>
      </w:pPr>
    </w:p>
    <w:p w14:paraId="3B8DCD20" w14:textId="77777777" w:rsidR="00410798" w:rsidRDefault="00410798" w:rsidP="00410798">
      <w:pPr>
        <w:rPr>
          <w:rStyle w:val="Nzevknihy"/>
          <w:smallCaps w:val="0"/>
        </w:rPr>
      </w:pPr>
    </w:p>
    <w:p w14:paraId="4A03225C" w14:textId="77777777" w:rsidR="00410798" w:rsidRPr="00BD342D" w:rsidRDefault="00410798" w:rsidP="00410798">
      <w:pPr>
        <w:rPr>
          <w:rStyle w:val="Nzevknihy"/>
          <w:smallCaps w:val="0"/>
        </w:rPr>
      </w:pPr>
    </w:p>
    <w:p w14:paraId="754A062D" w14:textId="77777777" w:rsidR="00410798" w:rsidRPr="00BD342D" w:rsidRDefault="00410798" w:rsidP="00410798">
      <w:pPr>
        <w:rPr>
          <w:rStyle w:val="Nzevknihy"/>
          <w:smallCaps w:val="0"/>
        </w:rPr>
      </w:pPr>
    </w:p>
    <w:p w14:paraId="33DBD59F" w14:textId="77777777" w:rsidR="00410798" w:rsidRPr="0090592C" w:rsidRDefault="00410798" w:rsidP="00410798">
      <w:pPr>
        <w:jc w:val="center"/>
        <w:rPr>
          <w:rStyle w:val="Nzevknihy"/>
          <w:smallCaps w:val="0"/>
          <w:szCs w:val="32"/>
        </w:rPr>
      </w:pPr>
      <w:r w:rsidRPr="0090592C">
        <w:rPr>
          <w:rStyle w:val="Nzevknihy"/>
          <w:smallCaps w:val="0"/>
          <w:szCs w:val="32"/>
        </w:rPr>
        <w:t>ODPADOVÉ HOSPODÁŘSTVÍ BRNO II – LINKA K1</w:t>
      </w:r>
    </w:p>
    <w:p w14:paraId="139F168C" w14:textId="77777777" w:rsidR="00410798" w:rsidRPr="0090592C" w:rsidRDefault="00410798" w:rsidP="00410798">
      <w:pPr>
        <w:pStyle w:val="Raztkonormln"/>
        <w:rPr>
          <w:rStyle w:val="Nzevknihy"/>
          <w:smallCaps w:val="0"/>
          <w:szCs w:val="32"/>
        </w:rPr>
      </w:pPr>
    </w:p>
    <w:p w14:paraId="5930ADE8" w14:textId="77777777" w:rsidR="00410798" w:rsidRPr="0090592C" w:rsidRDefault="00410798" w:rsidP="00410798">
      <w:pPr>
        <w:rPr>
          <w:sz w:val="32"/>
          <w:szCs w:val="32"/>
        </w:rPr>
      </w:pPr>
    </w:p>
    <w:p w14:paraId="3B8C8E33" w14:textId="77777777" w:rsidR="00410798" w:rsidRPr="00D5299D" w:rsidRDefault="00410798" w:rsidP="00410798">
      <w:pPr>
        <w:jc w:val="center"/>
        <w:rPr>
          <w:b/>
          <w:bCs/>
          <w:sz w:val="28"/>
          <w:szCs w:val="28"/>
        </w:rPr>
      </w:pPr>
      <w:r w:rsidRPr="00D5299D">
        <w:rPr>
          <w:b/>
          <w:bCs/>
          <w:sz w:val="28"/>
          <w:szCs w:val="28"/>
        </w:rPr>
        <w:t xml:space="preserve">DOKUMENTACE </w:t>
      </w:r>
      <w:r w:rsidR="00B731DC">
        <w:rPr>
          <w:b/>
          <w:bCs/>
          <w:sz w:val="28"/>
          <w:szCs w:val="28"/>
        </w:rPr>
        <w:t>BOURACÍCH PRACÍ</w:t>
      </w:r>
      <w:r w:rsidRPr="00D5299D">
        <w:rPr>
          <w:b/>
          <w:bCs/>
          <w:sz w:val="28"/>
          <w:szCs w:val="28"/>
        </w:rPr>
        <w:t xml:space="preserve"> (D</w:t>
      </w:r>
      <w:r w:rsidR="00D113CE">
        <w:rPr>
          <w:b/>
          <w:bCs/>
          <w:sz w:val="28"/>
          <w:szCs w:val="28"/>
        </w:rPr>
        <w:t>BP</w:t>
      </w:r>
      <w:r w:rsidRPr="00D5299D">
        <w:rPr>
          <w:b/>
          <w:bCs/>
          <w:sz w:val="28"/>
          <w:szCs w:val="28"/>
        </w:rPr>
        <w:t>)</w:t>
      </w:r>
    </w:p>
    <w:p w14:paraId="1A380A1B" w14:textId="77777777" w:rsidR="00410798" w:rsidRPr="0090592C" w:rsidRDefault="00410798" w:rsidP="00410798">
      <w:pPr>
        <w:rPr>
          <w:b/>
          <w:bCs/>
          <w:sz w:val="32"/>
          <w:szCs w:val="32"/>
        </w:rPr>
      </w:pPr>
    </w:p>
    <w:p w14:paraId="72E85D89" w14:textId="77777777" w:rsidR="00410798" w:rsidRPr="0090592C" w:rsidRDefault="00410798" w:rsidP="00410798">
      <w:pPr>
        <w:tabs>
          <w:tab w:val="left" w:pos="7545"/>
        </w:tabs>
        <w:spacing w:after="0"/>
        <w:rPr>
          <w:b/>
          <w:bCs/>
          <w:sz w:val="32"/>
          <w:szCs w:val="32"/>
        </w:rPr>
      </w:pPr>
    </w:p>
    <w:p w14:paraId="575945A8" w14:textId="77777777" w:rsidR="00410798" w:rsidRDefault="00410798" w:rsidP="00410798">
      <w:pPr>
        <w:tabs>
          <w:tab w:val="left" w:pos="7545"/>
        </w:tabs>
        <w:spacing w:after="0"/>
        <w:rPr>
          <w:b/>
          <w:bCs/>
          <w:sz w:val="32"/>
          <w:szCs w:val="32"/>
        </w:rPr>
      </w:pPr>
    </w:p>
    <w:p w14:paraId="16D225A9" w14:textId="77777777" w:rsidR="00E32FA4" w:rsidRPr="0090592C" w:rsidRDefault="00E32FA4" w:rsidP="00410798">
      <w:pPr>
        <w:tabs>
          <w:tab w:val="left" w:pos="7545"/>
        </w:tabs>
        <w:spacing w:after="0"/>
        <w:rPr>
          <w:b/>
          <w:bCs/>
          <w:sz w:val="32"/>
          <w:szCs w:val="32"/>
        </w:rPr>
      </w:pPr>
    </w:p>
    <w:p w14:paraId="16FB7FE4" w14:textId="77777777" w:rsidR="00410798" w:rsidRDefault="00410798" w:rsidP="00410798">
      <w:pPr>
        <w:pStyle w:val="Nadpistitulka"/>
        <w:rPr>
          <w:rFonts w:ascii="Arial" w:hAnsi="Arial" w:cs="Arial"/>
          <w:sz w:val="32"/>
          <w:szCs w:val="32"/>
        </w:rPr>
      </w:pPr>
    </w:p>
    <w:bookmarkEnd w:id="1"/>
    <w:p w14:paraId="496609D8" w14:textId="77777777" w:rsidR="00410798" w:rsidRPr="00BD342D" w:rsidRDefault="00410798" w:rsidP="00410798">
      <w:pPr>
        <w:tabs>
          <w:tab w:val="left" w:pos="7545"/>
        </w:tabs>
        <w:spacing w:after="0"/>
      </w:pPr>
    </w:p>
    <w:p w14:paraId="6A949043" w14:textId="77777777" w:rsidR="00410798" w:rsidRDefault="000346FA" w:rsidP="00410798">
      <w:pPr>
        <w:pStyle w:val="Nadpistitulka"/>
        <w:rPr>
          <w:rFonts w:ascii="Arial" w:hAnsi="Arial" w:cs="Arial"/>
        </w:rPr>
      </w:pPr>
      <w:r>
        <w:rPr>
          <w:rFonts w:ascii="Arial" w:hAnsi="Arial" w:cs="Arial"/>
        </w:rPr>
        <w:t>Technická</w:t>
      </w:r>
      <w:r w:rsidR="00410798" w:rsidRPr="00414D63">
        <w:rPr>
          <w:rFonts w:ascii="Arial" w:hAnsi="Arial" w:cs="Arial"/>
        </w:rPr>
        <w:t xml:space="preserve"> zpráva </w:t>
      </w:r>
    </w:p>
    <w:p w14:paraId="606F50A6" w14:textId="77777777" w:rsidR="00B13461" w:rsidRPr="00BD342D" w:rsidRDefault="00B13461" w:rsidP="00B13461">
      <w:pPr>
        <w:tabs>
          <w:tab w:val="left" w:pos="7545"/>
        </w:tabs>
        <w:spacing w:after="0"/>
      </w:pPr>
    </w:p>
    <w:p w14:paraId="2975E93E" w14:textId="77777777" w:rsidR="00B13461" w:rsidRPr="00BD342D" w:rsidRDefault="00B13461" w:rsidP="00B13461">
      <w:pPr>
        <w:tabs>
          <w:tab w:val="left" w:pos="7545"/>
        </w:tabs>
        <w:spacing w:after="0"/>
      </w:pPr>
    </w:p>
    <w:p w14:paraId="2B81A972" w14:textId="77777777" w:rsidR="00B13461" w:rsidRPr="006254AB" w:rsidRDefault="00B13461" w:rsidP="00B13461">
      <w:pPr>
        <w:pStyle w:val="Podnadpis"/>
        <w:ind w:firstLine="0"/>
        <w:rPr>
          <w:caps/>
          <w:sz w:val="28"/>
          <w:szCs w:val="28"/>
        </w:rPr>
      </w:pPr>
      <w:r w:rsidRPr="006254AB">
        <w:rPr>
          <w:caps/>
          <w:sz w:val="28"/>
          <w:szCs w:val="28"/>
        </w:rPr>
        <w:lastRenderedPageBreak/>
        <w:t>Seznam revizí a schvalovací list revizí</w:t>
      </w:r>
    </w:p>
    <w:p w14:paraId="284E3D8D" w14:textId="77777777" w:rsidR="00B13461" w:rsidRPr="00F82C8F" w:rsidRDefault="00B13461" w:rsidP="00B13461">
      <w:pPr>
        <w:pStyle w:val="Podnadpis"/>
        <w:spacing w:line="240" w:lineRule="auto"/>
        <w:ind w:firstLine="0"/>
        <w:rPr>
          <w:b w:val="0"/>
          <w:caps/>
        </w:rPr>
      </w:pPr>
      <w:r w:rsidRPr="00F82C8F">
        <w:rPr>
          <w:b w:val="0"/>
          <w:caps/>
        </w:rPr>
        <w:t>Seznam revizí</w:t>
      </w:r>
    </w:p>
    <w:tbl>
      <w:tblPr>
        <w:tblpPr w:leftFromText="141" w:rightFromText="141" w:vertAnchor="text" w:horzAnchor="margin" w:tblpXSpec="center" w:tblpY="212"/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90"/>
        <w:gridCol w:w="8490"/>
      </w:tblGrid>
      <w:tr w:rsidR="00B13461" w14:paraId="67C7BB6E" w14:textId="77777777" w:rsidTr="0046169C">
        <w:tc>
          <w:tcPr>
            <w:tcW w:w="690" w:type="dxa"/>
            <w:tcBorders>
              <w:bottom w:val="single" w:sz="12" w:space="0" w:color="000000"/>
            </w:tcBorders>
          </w:tcPr>
          <w:p w14:paraId="5C9C1A78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  <w:proofErr w:type="spellStart"/>
            <w:r w:rsidRPr="009F53F3">
              <w:rPr>
                <w:sz w:val="20"/>
              </w:rPr>
              <w:t>R</w:t>
            </w:r>
            <w:r>
              <w:rPr>
                <w:sz w:val="20"/>
              </w:rPr>
              <w:t>ev</w:t>
            </w:r>
            <w:proofErr w:type="spellEnd"/>
            <w:r w:rsidRPr="009F53F3">
              <w:rPr>
                <w:sz w:val="20"/>
              </w:rPr>
              <w:t>.</w:t>
            </w:r>
            <w:r>
              <w:rPr>
                <w:sz w:val="20"/>
              </w:rPr>
              <w:t>:</w:t>
            </w:r>
          </w:p>
        </w:tc>
        <w:tc>
          <w:tcPr>
            <w:tcW w:w="8490" w:type="dxa"/>
            <w:tcBorders>
              <w:bottom w:val="single" w:sz="12" w:space="0" w:color="000000"/>
            </w:tcBorders>
          </w:tcPr>
          <w:p w14:paraId="6BB05C09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Pr="009F53F3">
              <w:rPr>
                <w:sz w:val="20"/>
              </w:rPr>
              <w:t>Poznámky k</w:t>
            </w:r>
            <w:r>
              <w:rPr>
                <w:sz w:val="20"/>
              </w:rPr>
              <w:t> </w:t>
            </w:r>
            <w:r w:rsidRPr="009F53F3">
              <w:rPr>
                <w:sz w:val="20"/>
              </w:rPr>
              <w:t>revizím</w:t>
            </w:r>
            <w:r>
              <w:rPr>
                <w:sz w:val="20"/>
              </w:rPr>
              <w:t>:</w:t>
            </w:r>
          </w:p>
        </w:tc>
      </w:tr>
      <w:tr w:rsidR="00B13461" w14:paraId="126A0DB0" w14:textId="77777777" w:rsidTr="0046169C">
        <w:tc>
          <w:tcPr>
            <w:tcW w:w="690" w:type="dxa"/>
          </w:tcPr>
          <w:p w14:paraId="746E5608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1</w:t>
            </w:r>
          </w:p>
        </w:tc>
        <w:tc>
          <w:tcPr>
            <w:tcW w:w="8490" w:type="dxa"/>
            <w:vAlign w:val="center"/>
          </w:tcPr>
          <w:p w14:paraId="47E76066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7E2E4F45" w14:textId="77777777" w:rsidTr="0046169C">
        <w:tc>
          <w:tcPr>
            <w:tcW w:w="690" w:type="dxa"/>
          </w:tcPr>
          <w:p w14:paraId="099BCA3E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2</w:t>
            </w:r>
          </w:p>
        </w:tc>
        <w:tc>
          <w:tcPr>
            <w:tcW w:w="8490" w:type="dxa"/>
            <w:vAlign w:val="center"/>
          </w:tcPr>
          <w:p w14:paraId="38AA73EE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532F56B8" w14:textId="77777777" w:rsidTr="0046169C">
        <w:tc>
          <w:tcPr>
            <w:tcW w:w="690" w:type="dxa"/>
          </w:tcPr>
          <w:p w14:paraId="51A3F3CA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3</w:t>
            </w:r>
          </w:p>
        </w:tc>
        <w:tc>
          <w:tcPr>
            <w:tcW w:w="8490" w:type="dxa"/>
            <w:vAlign w:val="center"/>
          </w:tcPr>
          <w:p w14:paraId="19CC719D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18749253" w14:textId="77777777" w:rsidTr="0046169C">
        <w:tc>
          <w:tcPr>
            <w:tcW w:w="690" w:type="dxa"/>
          </w:tcPr>
          <w:p w14:paraId="5A1EC402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4</w:t>
            </w:r>
          </w:p>
        </w:tc>
        <w:tc>
          <w:tcPr>
            <w:tcW w:w="8490" w:type="dxa"/>
            <w:vAlign w:val="center"/>
          </w:tcPr>
          <w:p w14:paraId="69526188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  <w:tr w:rsidR="00B13461" w14:paraId="5A0ED364" w14:textId="77777777" w:rsidTr="0046169C">
        <w:tc>
          <w:tcPr>
            <w:tcW w:w="690" w:type="dxa"/>
          </w:tcPr>
          <w:p w14:paraId="4B1E2D8E" w14:textId="77777777" w:rsidR="00B13461" w:rsidRPr="009F53F3" w:rsidRDefault="00B13461" w:rsidP="0046169C">
            <w:pPr>
              <w:spacing w:before="60" w:after="60"/>
              <w:jc w:val="center"/>
              <w:rPr>
                <w:sz w:val="20"/>
              </w:rPr>
            </w:pPr>
            <w:r w:rsidRPr="009F53F3">
              <w:rPr>
                <w:sz w:val="20"/>
              </w:rPr>
              <w:t>5</w:t>
            </w:r>
          </w:p>
        </w:tc>
        <w:tc>
          <w:tcPr>
            <w:tcW w:w="8490" w:type="dxa"/>
            <w:vAlign w:val="center"/>
          </w:tcPr>
          <w:p w14:paraId="5FC66B4A" w14:textId="77777777" w:rsidR="00B13461" w:rsidRPr="009F53F3" w:rsidRDefault="00B13461" w:rsidP="0046169C">
            <w:pPr>
              <w:spacing w:before="60" w:after="60"/>
              <w:rPr>
                <w:sz w:val="20"/>
              </w:rPr>
            </w:pPr>
          </w:p>
        </w:tc>
      </w:tr>
    </w:tbl>
    <w:p w14:paraId="05D0978C" w14:textId="77777777" w:rsidR="00B13461" w:rsidRDefault="00B13461" w:rsidP="00B13461">
      <w:pPr>
        <w:pStyle w:val="Podnadpis"/>
        <w:spacing w:after="240"/>
        <w:rPr>
          <w:caps/>
        </w:rPr>
      </w:pPr>
    </w:p>
    <w:p w14:paraId="2E527EC6" w14:textId="77777777" w:rsidR="00B13461" w:rsidRPr="00F82C8F" w:rsidRDefault="00B13461" w:rsidP="00B13461">
      <w:pPr>
        <w:pStyle w:val="Podnadpis"/>
        <w:spacing w:after="240"/>
        <w:ind w:firstLine="0"/>
        <w:rPr>
          <w:caps/>
        </w:rPr>
      </w:pPr>
      <w:r w:rsidRPr="00F82C8F">
        <w:rPr>
          <w:caps/>
        </w:rPr>
        <w:t>Schvalovací list revizí</w:t>
      </w:r>
    </w:p>
    <w:tbl>
      <w:tblPr>
        <w:tblW w:w="918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0"/>
        <w:gridCol w:w="965"/>
        <w:gridCol w:w="1827"/>
        <w:gridCol w:w="1098"/>
        <w:gridCol w:w="2050"/>
        <w:gridCol w:w="1080"/>
        <w:gridCol w:w="1440"/>
      </w:tblGrid>
      <w:tr w:rsidR="00B13461" w14:paraId="718F2204" w14:textId="77777777" w:rsidTr="0046169C">
        <w:trPr>
          <w:jc w:val="center"/>
        </w:trPr>
        <w:tc>
          <w:tcPr>
            <w:tcW w:w="720" w:type="dxa"/>
            <w:tcBorders>
              <w:bottom w:val="single" w:sz="12" w:space="0" w:color="000000"/>
            </w:tcBorders>
            <w:vAlign w:val="center"/>
          </w:tcPr>
          <w:p w14:paraId="2DD62C27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bookmarkStart w:id="2" w:name="_Toc22113636"/>
            <w:bookmarkEnd w:id="2"/>
            <w:proofErr w:type="spellStart"/>
            <w:r>
              <w:rPr>
                <w:rFonts w:cs="Arial"/>
                <w:sz w:val="20"/>
              </w:rPr>
              <w:t>Rev</w:t>
            </w:r>
            <w:proofErr w:type="spellEnd"/>
            <w:r>
              <w:rPr>
                <w:rFonts w:cs="Arial"/>
                <w:sz w:val="20"/>
              </w:rPr>
              <w:t>.:</w:t>
            </w:r>
          </w:p>
        </w:tc>
        <w:tc>
          <w:tcPr>
            <w:tcW w:w="965" w:type="dxa"/>
            <w:tcBorders>
              <w:bottom w:val="single" w:sz="12" w:space="0" w:color="000000"/>
            </w:tcBorders>
            <w:vAlign w:val="center"/>
          </w:tcPr>
          <w:p w14:paraId="0C688CD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Datum:</w:t>
            </w:r>
          </w:p>
        </w:tc>
        <w:tc>
          <w:tcPr>
            <w:tcW w:w="1827" w:type="dxa"/>
            <w:tcBorders>
              <w:bottom w:val="single" w:sz="12" w:space="0" w:color="000000"/>
            </w:tcBorders>
            <w:vAlign w:val="center"/>
          </w:tcPr>
          <w:p w14:paraId="21EEEDB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V</w:t>
            </w:r>
            <w:r>
              <w:rPr>
                <w:rFonts w:cs="Arial"/>
                <w:sz w:val="20"/>
              </w:rPr>
              <w:t>y</w:t>
            </w:r>
            <w:r w:rsidRPr="009F53F3">
              <w:rPr>
                <w:rFonts w:cs="Arial"/>
                <w:sz w:val="20"/>
              </w:rPr>
              <w:t>pracoval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098" w:type="dxa"/>
            <w:tcBorders>
              <w:bottom w:val="single" w:sz="12" w:space="0" w:color="000000"/>
            </w:tcBorders>
            <w:vAlign w:val="center"/>
          </w:tcPr>
          <w:p w14:paraId="662168E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9F53F3">
              <w:rPr>
                <w:rFonts w:cs="Arial"/>
                <w:sz w:val="20"/>
              </w:rPr>
              <w:t>atum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2050" w:type="dxa"/>
            <w:tcBorders>
              <w:bottom w:val="single" w:sz="12" w:space="0" w:color="000000"/>
            </w:tcBorders>
            <w:vAlign w:val="center"/>
          </w:tcPr>
          <w:p w14:paraId="2AC167D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Zkontroloval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080" w:type="dxa"/>
            <w:tcBorders>
              <w:bottom w:val="single" w:sz="12" w:space="0" w:color="000000"/>
            </w:tcBorders>
            <w:vAlign w:val="center"/>
          </w:tcPr>
          <w:p w14:paraId="58B87BDD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9F53F3">
              <w:rPr>
                <w:rFonts w:cs="Arial"/>
                <w:sz w:val="20"/>
              </w:rPr>
              <w:t>atum</w:t>
            </w:r>
            <w:r>
              <w:rPr>
                <w:rFonts w:cs="Arial"/>
                <w:sz w:val="20"/>
              </w:rPr>
              <w:t>:</w:t>
            </w:r>
          </w:p>
        </w:tc>
        <w:tc>
          <w:tcPr>
            <w:tcW w:w="1440" w:type="dxa"/>
            <w:tcBorders>
              <w:bottom w:val="single" w:sz="12" w:space="0" w:color="000000"/>
            </w:tcBorders>
            <w:vAlign w:val="center"/>
          </w:tcPr>
          <w:p w14:paraId="3874BD4E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</w:t>
            </w:r>
            <w:r w:rsidRPr="009F53F3">
              <w:rPr>
                <w:rFonts w:cs="Arial"/>
                <w:sz w:val="20"/>
              </w:rPr>
              <w:t>chválil</w:t>
            </w:r>
            <w:r>
              <w:rPr>
                <w:rFonts w:cs="Arial"/>
                <w:sz w:val="20"/>
              </w:rPr>
              <w:t>:</w:t>
            </w:r>
          </w:p>
        </w:tc>
      </w:tr>
      <w:tr w:rsidR="00B13461" w14:paraId="19E81C2E" w14:textId="77777777" w:rsidTr="0046169C">
        <w:trPr>
          <w:jc w:val="center"/>
        </w:trPr>
        <w:tc>
          <w:tcPr>
            <w:tcW w:w="720" w:type="dxa"/>
            <w:vAlign w:val="center"/>
          </w:tcPr>
          <w:p w14:paraId="1B18D4A3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1</w:t>
            </w:r>
          </w:p>
        </w:tc>
        <w:tc>
          <w:tcPr>
            <w:tcW w:w="965" w:type="dxa"/>
            <w:vAlign w:val="center"/>
          </w:tcPr>
          <w:p w14:paraId="22A23B5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44CA84EB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2859F3D4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1DEBD84C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7BD58BA3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4A5AD69D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50ECD8CC" w14:textId="77777777" w:rsidTr="0046169C">
        <w:trPr>
          <w:jc w:val="center"/>
        </w:trPr>
        <w:tc>
          <w:tcPr>
            <w:tcW w:w="720" w:type="dxa"/>
            <w:vAlign w:val="center"/>
          </w:tcPr>
          <w:p w14:paraId="788DCDB3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2</w:t>
            </w:r>
          </w:p>
        </w:tc>
        <w:tc>
          <w:tcPr>
            <w:tcW w:w="965" w:type="dxa"/>
            <w:vAlign w:val="center"/>
          </w:tcPr>
          <w:p w14:paraId="731946AF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2BB98EC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08A63A3D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6C14EB8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799BC0A6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673AAC3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106F641E" w14:textId="77777777" w:rsidTr="0046169C">
        <w:trPr>
          <w:jc w:val="center"/>
        </w:trPr>
        <w:tc>
          <w:tcPr>
            <w:tcW w:w="720" w:type="dxa"/>
            <w:vAlign w:val="center"/>
          </w:tcPr>
          <w:p w14:paraId="2945F3C3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3</w:t>
            </w:r>
          </w:p>
        </w:tc>
        <w:tc>
          <w:tcPr>
            <w:tcW w:w="965" w:type="dxa"/>
            <w:vAlign w:val="center"/>
          </w:tcPr>
          <w:p w14:paraId="7BA537A8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0C55349A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3BCFA221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278BAFF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34E9963B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00351B9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02D4B071" w14:textId="77777777" w:rsidTr="0046169C">
        <w:trPr>
          <w:jc w:val="center"/>
        </w:trPr>
        <w:tc>
          <w:tcPr>
            <w:tcW w:w="720" w:type="dxa"/>
            <w:vAlign w:val="center"/>
          </w:tcPr>
          <w:p w14:paraId="1C608F98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4</w:t>
            </w:r>
          </w:p>
        </w:tc>
        <w:tc>
          <w:tcPr>
            <w:tcW w:w="965" w:type="dxa"/>
            <w:vAlign w:val="center"/>
          </w:tcPr>
          <w:p w14:paraId="3F71810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006EFE06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3D13ECEB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4074CAD0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5B9571E4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0F3F19FD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  <w:tr w:rsidR="00B13461" w14:paraId="06F621F7" w14:textId="77777777" w:rsidTr="0046169C">
        <w:trPr>
          <w:jc w:val="center"/>
        </w:trPr>
        <w:tc>
          <w:tcPr>
            <w:tcW w:w="720" w:type="dxa"/>
            <w:vAlign w:val="center"/>
          </w:tcPr>
          <w:p w14:paraId="34819500" w14:textId="77777777" w:rsidR="00B13461" w:rsidRPr="009F53F3" w:rsidRDefault="00B13461" w:rsidP="0046169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9F53F3">
              <w:rPr>
                <w:rFonts w:cs="Arial"/>
                <w:sz w:val="20"/>
              </w:rPr>
              <w:t>5</w:t>
            </w:r>
          </w:p>
        </w:tc>
        <w:tc>
          <w:tcPr>
            <w:tcW w:w="965" w:type="dxa"/>
            <w:vAlign w:val="center"/>
          </w:tcPr>
          <w:p w14:paraId="6A3DF272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827" w:type="dxa"/>
            <w:vAlign w:val="center"/>
          </w:tcPr>
          <w:p w14:paraId="658B0143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98" w:type="dxa"/>
            <w:vAlign w:val="center"/>
          </w:tcPr>
          <w:p w14:paraId="20BC5F3A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2050" w:type="dxa"/>
            <w:vAlign w:val="center"/>
          </w:tcPr>
          <w:p w14:paraId="759DFF85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080" w:type="dxa"/>
            <w:vAlign w:val="center"/>
          </w:tcPr>
          <w:p w14:paraId="49608E26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  <w:tc>
          <w:tcPr>
            <w:tcW w:w="1440" w:type="dxa"/>
            <w:vAlign w:val="center"/>
          </w:tcPr>
          <w:p w14:paraId="183A12F6" w14:textId="77777777" w:rsidR="00B13461" w:rsidRPr="009F53F3" w:rsidRDefault="00B13461" w:rsidP="0046169C">
            <w:pPr>
              <w:spacing w:before="60" w:after="60"/>
              <w:rPr>
                <w:rFonts w:cs="Arial"/>
                <w:sz w:val="20"/>
              </w:rPr>
            </w:pPr>
          </w:p>
        </w:tc>
      </w:tr>
    </w:tbl>
    <w:p w14:paraId="2B81B5DB" w14:textId="77777777" w:rsidR="00B13461" w:rsidRDefault="00B13461" w:rsidP="00B13461"/>
    <w:p w14:paraId="2A2A6415" w14:textId="77777777" w:rsidR="00B13461" w:rsidRDefault="00B13461" w:rsidP="00B13461"/>
    <w:p w14:paraId="374E4515" w14:textId="77777777" w:rsidR="00B13461" w:rsidRDefault="00B13461" w:rsidP="00B13461"/>
    <w:p w14:paraId="50BD0D18" w14:textId="77777777" w:rsidR="00B13461" w:rsidRDefault="00B13461" w:rsidP="00B13461"/>
    <w:p w14:paraId="7FAC4315" w14:textId="77777777" w:rsidR="00B13461" w:rsidRDefault="00B13461" w:rsidP="00B13461"/>
    <w:p w14:paraId="0E967604" w14:textId="77777777" w:rsidR="00B13461" w:rsidRDefault="00B13461" w:rsidP="00B13461"/>
    <w:p w14:paraId="3D3A34D2" w14:textId="77777777" w:rsidR="00B13461" w:rsidRDefault="00B13461" w:rsidP="00B13461"/>
    <w:bookmarkEnd w:id="0"/>
    <w:p w14:paraId="7D092D0F" w14:textId="77777777" w:rsidR="00035674" w:rsidRPr="00DD561E" w:rsidRDefault="00035674" w:rsidP="00035674">
      <w:pPr>
        <w:pStyle w:val="Nadpis1"/>
        <w:rPr>
          <w:rStyle w:val="Nzevknihy"/>
          <w:b/>
          <w:smallCaps w:val="0"/>
        </w:rPr>
      </w:pPr>
    </w:p>
    <w:p w14:paraId="6412914F" w14:textId="77777777" w:rsidR="004047D2" w:rsidRDefault="004047D2" w:rsidP="00887574"/>
    <w:p w14:paraId="375D5D17" w14:textId="77777777" w:rsidR="004047D2" w:rsidRDefault="004047D2" w:rsidP="00887574"/>
    <w:p w14:paraId="13C90995" w14:textId="77777777" w:rsidR="004047D2" w:rsidRDefault="004047D2" w:rsidP="00887574"/>
    <w:p w14:paraId="228164E2" w14:textId="77777777" w:rsidR="004047D2" w:rsidRDefault="004047D2" w:rsidP="00887574"/>
    <w:p w14:paraId="5907FE14" w14:textId="77777777" w:rsidR="00E0478A" w:rsidRDefault="00E0478A" w:rsidP="00887574"/>
    <w:p w14:paraId="22AB2626" w14:textId="77777777" w:rsidR="00B76BB7" w:rsidRDefault="00B76BB7" w:rsidP="00887574"/>
    <w:p w14:paraId="1AE35454" w14:textId="77777777" w:rsidR="002C3049" w:rsidRDefault="002C3049" w:rsidP="00887574"/>
    <w:sdt>
      <w:sdtPr>
        <w:rPr>
          <w:rFonts w:eastAsiaTheme="minorHAnsi" w:cstheme="minorBidi"/>
          <w:b w:val="0"/>
          <w:bCs/>
          <w:smallCaps/>
          <w:spacing w:val="5"/>
          <w:szCs w:val="22"/>
          <w:lang w:eastAsia="en-US"/>
        </w:rPr>
        <w:id w:val="-225462989"/>
        <w:docPartObj>
          <w:docPartGallery w:val="Table of Contents"/>
          <w:docPartUnique/>
        </w:docPartObj>
      </w:sdtPr>
      <w:sdtEndPr>
        <w:rPr>
          <w:b/>
          <w:smallCaps w:val="0"/>
          <w:spacing w:val="0"/>
          <w:sz w:val="22"/>
        </w:rPr>
      </w:sdtEndPr>
      <w:sdtContent>
        <w:p w14:paraId="1E26C9CC" w14:textId="77777777" w:rsidR="004047D2" w:rsidRDefault="004047D2">
          <w:pPr>
            <w:pStyle w:val="Nadpisobsahu"/>
          </w:pPr>
          <w:r>
            <w:t>Obsah</w:t>
          </w:r>
        </w:p>
        <w:p w14:paraId="51186230" w14:textId="7D40CABE" w:rsidR="001F011A" w:rsidRDefault="00075612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fldChar w:fldCharType="begin"/>
          </w:r>
          <w:r w:rsidR="004047D2">
            <w:instrText xml:space="preserve"> TOC \o "1-3" \h \z \u </w:instrText>
          </w:r>
          <w:r>
            <w:fldChar w:fldCharType="separate"/>
          </w:r>
          <w:hyperlink w:anchor="_Toc34654314" w:history="1">
            <w:r w:rsidR="001F011A" w:rsidRPr="00836A55">
              <w:rPr>
                <w:rStyle w:val="Hypertextovodkaz"/>
                <w:rFonts w:eastAsia="Times New Roman"/>
                <w:noProof/>
                <w:lang w:eastAsia="cs-CZ"/>
              </w:rPr>
              <w:t>1. Identifikační údaje</w:t>
            </w:r>
            <w:r w:rsidR="001F011A">
              <w:rPr>
                <w:noProof/>
                <w:webHidden/>
              </w:rPr>
              <w:tab/>
            </w:r>
            <w:r w:rsidR="001F011A">
              <w:rPr>
                <w:noProof/>
                <w:webHidden/>
              </w:rPr>
              <w:fldChar w:fldCharType="begin"/>
            </w:r>
            <w:r w:rsidR="001F011A">
              <w:rPr>
                <w:noProof/>
                <w:webHidden/>
              </w:rPr>
              <w:instrText xml:space="preserve"> PAGEREF _Toc34654314 \h </w:instrText>
            </w:r>
            <w:r w:rsidR="001F011A">
              <w:rPr>
                <w:noProof/>
                <w:webHidden/>
              </w:rPr>
            </w:r>
            <w:r w:rsidR="001F011A">
              <w:rPr>
                <w:noProof/>
                <w:webHidden/>
              </w:rPr>
              <w:fldChar w:fldCharType="separate"/>
            </w:r>
            <w:r w:rsidR="0035793F">
              <w:rPr>
                <w:noProof/>
                <w:webHidden/>
              </w:rPr>
              <w:t>4</w:t>
            </w:r>
            <w:r w:rsidR="001F011A">
              <w:rPr>
                <w:noProof/>
                <w:webHidden/>
              </w:rPr>
              <w:fldChar w:fldCharType="end"/>
            </w:r>
          </w:hyperlink>
        </w:p>
        <w:p w14:paraId="2F7BA56D" w14:textId="04590EBC" w:rsidR="001F011A" w:rsidRDefault="0035793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315" w:history="1">
            <w:r w:rsidR="001F011A" w:rsidRPr="00836A55">
              <w:rPr>
                <w:rStyle w:val="Hypertextovodkaz"/>
                <w:rFonts w:eastAsia="Times New Roman"/>
                <w:noProof/>
                <w:lang w:eastAsia="cs-CZ"/>
              </w:rPr>
              <w:t>1.1 Údaje o stavbě</w:t>
            </w:r>
            <w:r w:rsidR="001F011A">
              <w:rPr>
                <w:noProof/>
                <w:webHidden/>
              </w:rPr>
              <w:tab/>
            </w:r>
            <w:r w:rsidR="001F011A">
              <w:rPr>
                <w:noProof/>
                <w:webHidden/>
              </w:rPr>
              <w:fldChar w:fldCharType="begin"/>
            </w:r>
            <w:r w:rsidR="001F011A">
              <w:rPr>
                <w:noProof/>
                <w:webHidden/>
              </w:rPr>
              <w:instrText xml:space="preserve"> PAGEREF _Toc34654315 \h </w:instrText>
            </w:r>
            <w:r w:rsidR="001F011A">
              <w:rPr>
                <w:noProof/>
                <w:webHidden/>
              </w:rPr>
            </w:r>
            <w:r w:rsidR="001F0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F011A">
              <w:rPr>
                <w:noProof/>
                <w:webHidden/>
              </w:rPr>
              <w:fldChar w:fldCharType="end"/>
            </w:r>
          </w:hyperlink>
        </w:p>
        <w:p w14:paraId="35862635" w14:textId="24F80342" w:rsidR="001F011A" w:rsidRDefault="0035793F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316" w:history="1">
            <w:r w:rsidR="001F011A" w:rsidRPr="00836A55">
              <w:rPr>
                <w:rStyle w:val="Hypertextovodkaz"/>
                <w:noProof/>
              </w:rPr>
              <w:t>a) název stavby</w:t>
            </w:r>
            <w:r w:rsidR="001F011A">
              <w:rPr>
                <w:noProof/>
                <w:webHidden/>
              </w:rPr>
              <w:tab/>
            </w:r>
            <w:r w:rsidR="001F011A">
              <w:rPr>
                <w:noProof/>
                <w:webHidden/>
              </w:rPr>
              <w:fldChar w:fldCharType="begin"/>
            </w:r>
            <w:r w:rsidR="001F011A">
              <w:rPr>
                <w:noProof/>
                <w:webHidden/>
              </w:rPr>
              <w:instrText xml:space="preserve"> PAGEREF _Toc34654316 \h </w:instrText>
            </w:r>
            <w:r w:rsidR="001F011A">
              <w:rPr>
                <w:noProof/>
                <w:webHidden/>
              </w:rPr>
            </w:r>
            <w:r w:rsidR="001F0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F011A">
              <w:rPr>
                <w:noProof/>
                <w:webHidden/>
              </w:rPr>
              <w:fldChar w:fldCharType="end"/>
            </w:r>
          </w:hyperlink>
        </w:p>
        <w:p w14:paraId="76749066" w14:textId="2F99712B" w:rsidR="001F011A" w:rsidRDefault="0035793F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317" w:history="1">
            <w:r w:rsidR="001F011A" w:rsidRPr="00836A55">
              <w:rPr>
                <w:rStyle w:val="Hypertextovodkaz"/>
                <w:noProof/>
              </w:rPr>
              <w:t>b) místo stavby</w:t>
            </w:r>
            <w:r w:rsidR="001F011A">
              <w:rPr>
                <w:noProof/>
                <w:webHidden/>
              </w:rPr>
              <w:tab/>
            </w:r>
            <w:r w:rsidR="001F011A">
              <w:rPr>
                <w:noProof/>
                <w:webHidden/>
              </w:rPr>
              <w:fldChar w:fldCharType="begin"/>
            </w:r>
            <w:r w:rsidR="001F011A">
              <w:rPr>
                <w:noProof/>
                <w:webHidden/>
              </w:rPr>
              <w:instrText xml:space="preserve"> PAGEREF _Toc34654317 \h </w:instrText>
            </w:r>
            <w:r w:rsidR="001F011A">
              <w:rPr>
                <w:noProof/>
                <w:webHidden/>
              </w:rPr>
            </w:r>
            <w:r w:rsidR="001F0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F011A">
              <w:rPr>
                <w:noProof/>
                <w:webHidden/>
              </w:rPr>
              <w:fldChar w:fldCharType="end"/>
            </w:r>
          </w:hyperlink>
        </w:p>
        <w:p w14:paraId="70D48E64" w14:textId="44CD7CAD" w:rsidR="001F011A" w:rsidRDefault="0035793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318" w:history="1">
            <w:r w:rsidR="001F011A" w:rsidRPr="00836A55">
              <w:rPr>
                <w:rStyle w:val="Hypertextovodkaz"/>
                <w:noProof/>
                <w:lang w:eastAsia="cs-CZ"/>
              </w:rPr>
              <w:t>2. Údaje o dosavadním využití a zastavěnosti území, o stavebním pozemku</w:t>
            </w:r>
            <w:r w:rsidR="001F011A">
              <w:rPr>
                <w:noProof/>
                <w:webHidden/>
              </w:rPr>
              <w:tab/>
            </w:r>
            <w:r w:rsidR="001F011A">
              <w:rPr>
                <w:noProof/>
                <w:webHidden/>
              </w:rPr>
              <w:fldChar w:fldCharType="begin"/>
            </w:r>
            <w:r w:rsidR="001F011A">
              <w:rPr>
                <w:noProof/>
                <w:webHidden/>
              </w:rPr>
              <w:instrText xml:space="preserve"> PAGEREF _Toc34654318 \h </w:instrText>
            </w:r>
            <w:r w:rsidR="001F011A">
              <w:rPr>
                <w:noProof/>
                <w:webHidden/>
              </w:rPr>
            </w:r>
            <w:r w:rsidR="001F0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F011A">
              <w:rPr>
                <w:noProof/>
                <w:webHidden/>
              </w:rPr>
              <w:fldChar w:fldCharType="end"/>
            </w:r>
          </w:hyperlink>
        </w:p>
        <w:p w14:paraId="25677D8D" w14:textId="79F61F6A" w:rsidR="001F011A" w:rsidRDefault="0035793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319" w:history="1">
            <w:r w:rsidR="001F011A" w:rsidRPr="00836A55">
              <w:rPr>
                <w:rStyle w:val="Hypertextovodkaz"/>
                <w:noProof/>
                <w:lang w:eastAsia="cs-CZ"/>
              </w:rPr>
              <w:t>3. Popis bouraných objektů</w:t>
            </w:r>
            <w:r w:rsidR="001F011A">
              <w:rPr>
                <w:noProof/>
                <w:webHidden/>
              </w:rPr>
              <w:tab/>
            </w:r>
            <w:r w:rsidR="001F011A">
              <w:rPr>
                <w:noProof/>
                <w:webHidden/>
              </w:rPr>
              <w:fldChar w:fldCharType="begin"/>
            </w:r>
            <w:r w:rsidR="001F011A">
              <w:rPr>
                <w:noProof/>
                <w:webHidden/>
              </w:rPr>
              <w:instrText xml:space="preserve"> PAGEREF _Toc34654319 \h </w:instrText>
            </w:r>
            <w:r w:rsidR="001F011A">
              <w:rPr>
                <w:noProof/>
                <w:webHidden/>
              </w:rPr>
            </w:r>
            <w:r w:rsidR="001F0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F011A">
              <w:rPr>
                <w:noProof/>
                <w:webHidden/>
              </w:rPr>
              <w:fldChar w:fldCharType="end"/>
            </w:r>
          </w:hyperlink>
        </w:p>
        <w:p w14:paraId="0E48615E" w14:textId="53DB2551" w:rsidR="001F011A" w:rsidRDefault="0035793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320" w:history="1">
            <w:r w:rsidR="001F011A" w:rsidRPr="00836A55">
              <w:rPr>
                <w:rStyle w:val="Hypertextovodkaz"/>
                <w:noProof/>
                <w:lang w:eastAsia="cs-CZ"/>
              </w:rPr>
              <w:t>4. Popis technologického postupu bouracích prací</w:t>
            </w:r>
            <w:r w:rsidR="001F011A">
              <w:rPr>
                <w:noProof/>
                <w:webHidden/>
              </w:rPr>
              <w:tab/>
            </w:r>
            <w:r w:rsidR="001F011A">
              <w:rPr>
                <w:noProof/>
                <w:webHidden/>
              </w:rPr>
              <w:fldChar w:fldCharType="begin"/>
            </w:r>
            <w:r w:rsidR="001F011A">
              <w:rPr>
                <w:noProof/>
                <w:webHidden/>
              </w:rPr>
              <w:instrText xml:space="preserve"> PAGEREF _Toc34654320 \h </w:instrText>
            </w:r>
            <w:r w:rsidR="001F011A">
              <w:rPr>
                <w:noProof/>
                <w:webHidden/>
              </w:rPr>
            </w:r>
            <w:r w:rsidR="001F0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F011A">
              <w:rPr>
                <w:noProof/>
                <w:webHidden/>
              </w:rPr>
              <w:fldChar w:fldCharType="end"/>
            </w:r>
          </w:hyperlink>
        </w:p>
        <w:p w14:paraId="09CC1025" w14:textId="63FA854E" w:rsidR="001F011A" w:rsidRDefault="0035793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34654321" w:history="1">
            <w:r w:rsidR="001F011A" w:rsidRPr="00836A55">
              <w:rPr>
                <w:rStyle w:val="Hypertextovodkaz"/>
                <w:noProof/>
                <w:lang w:eastAsia="cs-CZ"/>
              </w:rPr>
              <w:t>5. Fotodokumentace</w:t>
            </w:r>
            <w:r w:rsidR="001F011A">
              <w:rPr>
                <w:noProof/>
                <w:webHidden/>
              </w:rPr>
              <w:tab/>
            </w:r>
            <w:r w:rsidR="001F011A">
              <w:rPr>
                <w:noProof/>
                <w:webHidden/>
              </w:rPr>
              <w:fldChar w:fldCharType="begin"/>
            </w:r>
            <w:r w:rsidR="001F011A">
              <w:rPr>
                <w:noProof/>
                <w:webHidden/>
              </w:rPr>
              <w:instrText xml:space="preserve"> PAGEREF _Toc34654321 \h </w:instrText>
            </w:r>
            <w:r w:rsidR="001F011A">
              <w:rPr>
                <w:noProof/>
                <w:webHidden/>
              </w:rPr>
            </w:r>
            <w:r w:rsidR="001F0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F011A">
              <w:rPr>
                <w:noProof/>
                <w:webHidden/>
              </w:rPr>
              <w:fldChar w:fldCharType="end"/>
            </w:r>
          </w:hyperlink>
        </w:p>
        <w:p w14:paraId="7494095F" w14:textId="77777777" w:rsidR="006A5577" w:rsidRDefault="0007561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14:paraId="6E38689C" w14:textId="77777777" w:rsidR="006A5577" w:rsidRDefault="006A5577">
          <w:pPr>
            <w:rPr>
              <w:b/>
              <w:bCs/>
            </w:rPr>
          </w:pPr>
        </w:p>
        <w:p w14:paraId="0512267B" w14:textId="77777777" w:rsidR="006A5577" w:rsidRDefault="006A5577">
          <w:pPr>
            <w:rPr>
              <w:b/>
              <w:bCs/>
            </w:rPr>
          </w:pPr>
        </w:p>
        <w:p w14:paraId="245AEF43" w14:textId="77777777" w:rsidR="00C31813" w:rsidRDefault="00C31813"/>
        <w:p w14:paraId="4F99A81E" w14:textId="77777777" w:rsidR="004047D2" w:rsidRDefault="0035793F"/>
      </w:sdtContent>
    </w:sdt>
    <w:p w14:paraId="54D36B60" w14:textId="77777777" w:rsidR="00887574" w:rsidRDefault="00887574" w:rsidP="00887574"/>
    <w:p w14:paraId="4DCB31F8" w14:textId="77777777" w:rsidR="00ED7450" w:rsidRDefault="00ED7450" w:rsidP="00887574"/>
    <w:p w14:paraId="0748C6BF" w14:textId="77777777" w:rsidR="00ED7450" w:rsidRDefault="00ED7450" w:rsidP="00887574"/>
    <w:p w14:paraId="0DFD4416" w14:textId="77777777" w:rsidR="00ED7450" w:rsidRDefault="00ED7450" w:rsidP="00887574"/>
    <w:p w14:paraId="4829CA65" w14:textId="77777777" w:rsidR="00CC63FD" w:rsidRDefault="00CC63FD" w:rsidP="00887574"/>
    <w:p w14:paraId="06466CB2" w14:textId="77777777" w:rsidR="00CC63FD" w:rsidRDefault="00CC63FD" w:rsidP="00887574"/>
    <w:p w14:paraId="56C4A0A2" w14:textId="77777777" w:rsidR="00CC63FD" w:rsidRDefault="00CC63FD" w:rsidP="00887574"/>
    <w:p w14:paraId="50535AFD" w14:textId="77777777" w:rsidR="00CC63FD" w:rsidRDefault="00CC63FD" w:rsidP="00887574"/>
    <w:p w14:paraId="28D68A95" w14:textId="77777777" w:rsidR="00ED7450" w:rsidRDefault="00ED7450" w:rsidP="00887574"/>
    <w:p w14:paraId="498F3478" w14:textId="77777777" w:rsidR="00ED7450" w:rsidRDefault="00ED7450" w:rsidP="00887574"/>
    <w:p w14:paraId="15DCBE3B" w14:textId="77777777" w:rsidR="00ED7450" w:rsidRDefault="00ED7450" w:rsidP="00887574"/>
    <w:p w14:paraId="507AA0B8" w14:textId="77777777" w:rsidR="00ED7450" w:rsidRDefault="00ED7450" w:rsidP="00887574"/>
    <w:p w14:paraId="0B749108" w14:textId="77777777" w:rsidR="00ED7450" w:rsidRDefault="00ED7450" w:rsidP="00887574"/>
    <w:p w14:paraId="11EC9FC0" w14:textId="77777777" w:rsidR="00837526" w:rsidRDefault="00837526" w:rsidP="00887574"/>
    <w:p w14:paraId="3DB932EF" w14:textId="77777777" w:rsidR="00912A31" w:rsidRDefault="00912A31" w:rsidP="00887574"/>
    <w:p w14:paraId="04E3DEC8" w14:textId="77777777" w:rsidR="00912A31" w:rsidRDefault="00912A31" w:rsidP="00887574"/>
    <w:p w14:paraId="34E65DF9" w14:textId="77777777" w:rsidR="00ED7450" w:rsidRPr="00035674" w:rsidRDefault="00ED7450" w:rsidP="00887574"/>
    <w:p w14:paraId="04AFDF98" w14:textId="77777777" w:rsidR="00887574" w:rsidRPr="009A4947" w:rsidRDefault="00887574" w:rsidP="00481961">
      <w:pPr>
        <w:pStyle w:val="Nadpis2"/>
        <w:rPr>
          <w:rFonts w:eastAsia="Times New Roman"/>
          <w:lang w:eastAsia="cs-CZ"/>
        </w:rPr>
      </w:pPr>
      <w:bookmarkStart w:id="3" w:name="_Toc34654314"/>
      <w:r w:rsidRPr="009A4947">
        <w:rPr>
          <w:rFonts w:eastAsia="Times New Roman"/>
          <w:lang w:eastAsia="cs-CZ"/>
        </w:rPr>
        <w:lastRenderedPageBreak/>
        <w:t>1</w:t>
      </w:r>
      <w:r w:rsidR="00794BFC">
        <w:rPr>
          <w:rFonts w:eastAsia="Times New Roman"/>
          <w:lang w:eastAsia="cs-CZ"/>
        </w:rPr>
        <w:t>.</w:t>
      </w:r>
      <w:r w:rsidRPr="009A4947">
        <w:rPr>
          <w:rFonts w:eastAsia="Times New Roman"/>
          <w:lang w:eastAsia="cs-CZ"/>
        </w:rPr>
        <w:t xml:space="preserve"> Identifikační údaje</w:t>
      </w:r>
      <w:bookmarkEnd w:id="3"/>
    </w:p>
    <w:p w14:paraId="6A217E4B" w14:textId="77777777" w:rsidR="00887574" w:rsidRPr="009A4947" w:rsidRDefault="00887574" w:rsidP="00481961">
      <w:pPr>
        <w:pStyle w:val="Nadpis2"/>
        <w:rPr>
          <w:rFonts w:eastAsia="Times New Roman"/>
          <w:lang w:eastAsia="cs-CZ"/>
        </w:rPr>
      </w:pPr>
      <w:bookmarkStart w:id="4" w:name="_Toc34654315"/>
      <w:r w:rsidRPr="009A4947">
        <w:rPr>
          <w:rFonts w:eastAsia="Times New Roman"/>
          <w:lang w:eastAsia="cs-CZ"/>
        </w:rPr>
        <w:t>1.1 Údaje o stavbě</w:t>
      </w:r>
      <w:bookmarkEnd w:id="4"/>
    </w:p>
    <w:p w14:paraId="21F6E64E" w14:textId="77777777" w:rsidR="00217963" w:rsidRPr="00024AFC" w:rsidRDefault="00887574" w:rsidP="00024AFC">
      <w:pPr>
        <w:pStyle w:val="Nadpis3"/>
        <w:rPr>
          <w:rStyle w:val="Nzevknihy"/>
          <w:b/>
          <w:bCs w:val="0"/>
          <w:smallCaps w:val="0"/>
          <w:spacing w:val="0"/>
          <w:sz w:val="22"/>
        </w:rPr>
      </w:pPr>
      <w:bookmarkStart w:id="5" w:name="_Toc34654316"/>
      <w:r w:rsidRPr="00024AFC">
        <w:t>a) název stavby</w:t>
      </w:r>
      <w:bookmarkEnd w:id="5"/>
    </w:p>
    <w:p w14:paraId="17EDF6C2" w14:textId="77777777" w:rsidR="00217963" w:rsidRPr="00217963" w:rsidRDefault="00217963" w:rsidP="00217963">
      <w:pPr>
        <w:rPr>
          <w:lang w:eastAsia="cs-CZ"/>
        </w:rPr>
      </w:pPr>
      <w:r>
        <w:rPr>
          <w:lang w:eastAsia="cs-CZ"/>
        </w:rPr>
        <w:t>Odpadové hospodářství Brno II – linka K1</w:t>
      </w:r>
    </w:p>
    <w:p w14:paraId="1F2041B3" w14:textId="77777777" w:rsidR="00887574" w:rsidRPr="00024AFC" w:rsidRDefault="00887574" w:rsidP="00024AFC">
      <w:pPr>
        <w:pStyle w:val="Nadpis3"/>
      </w:pPr>
      <w:bookmarkStart w:id="6" w:name="_Toc34654317"/>
      <w:r w:rsidRPr="00024AFC">
        <w:t>b) místo stavby</w:t>
      </w:r>
      <w:bookmarkEnd w:id="6"/>
      <w:r w:rsidRPr="00024AFC">
        <w:t xml:space="preserve"> </w:t>
      </w:r>
    </w:p>
    <w:p w14:paraId="338545F9" w14:textId="77777777" w:rsidR="00217963" w:rsidRDefault="00217963" w:rsidP="001603AA">
      <w:pPr>
        <w:pStyle w:val="Normlntenzabezmezer"/>
      </w:pPr>
      <w:r>
        <w:t>Areál společnosti SAKO Brno. a.s.</w:t>
      </w:r>
    </w:p>
    <w:p w14:paraId="1ADA220C" w14:textId="77777777" w:rsidR="00A8757C" w:rsidRDefault="001603AA" w:rsidP="001603AA">
      <w:pPr>
        <w:pStyle w:val="Normlntenzabezmezer"/>
      </w:pPr>
      <w:r>
        <w:t>Jedovnická 2, Brno 628 00</w:t>
      </w:r>
    </w:p>
    <w:p w14:paraId="3D58EFDD" w14:textId="77777777" w:rsidR="00DD06F5" w:rsidRPr="00DD561E" w:rsidRDefault="00DD06F5" w:rsidP="00DD06F5">
      <w:pPr>
        <w:contextualSpacing/>
      </w:pPr>
      <w:r w:rsidRPr="00DD561E">
        <w:t>Okres Brno-město</w:t>
      </w:r>
    </w:p>
    <w:p w14:paraId="17F6D265" w14:textId="77777777" w:rsidR="00DD06F5" w:rsidRPr="00DD561E" w:rsidRDefault="00DD06F5" w:rsidP="00DD06F5">
      <w:pPr>
        <w:contextualSpacing/>
      </w:pPr>
      <w:r w:rsidRPr="00DD561E">
        <w:t>Jihomoravský kraj</w:t>
      </w:r>
    </w:p>
    <w:p w14:paraId="72F22FC0" w14:textId="77777777" w:rsidR="00DD06F5" w:rsidRDefault="00DD06F5" w:rsidP="008E6C87">
      <w:pPr>
        <w:contextualSpacing/>
        <w:rPr>
          <w:rStyle w:val="NormlntenzabezmezerChar"/>
        </w:rPr>
      </w:pPr>
      <w:r w:rsidRPr="00DD561E">
        <w:t xml:space="preserve">Katastrální území </w:t>
      </w:r>
      <w:r>
        <w:t xml:space="preserve">Židenice </w:t>
      </w:r>
      <w:r w:rsidRPr="00DD06F5">
        <w:rPr>
          <w:rStyle w:val="NormlntenzabezmezerChar"/>
        </w:rPr>
        <w:t>611115</w:t>
      </w:r>
      <w:bookmarkStart w:id="7" w:name="_GoBack"/>
      <w:bookmarkEnd w:id="7"/>
    </w:p>
    <w:p w14:paraId="501EC864" w14:textId="77777777" w:rsidR="00881387" w:rsidRDefault="00881387" w:rsidP="0060691F">
      <w:pPr>
        <w:pStyle w:val="Normlntenzabezmezer"/>
      </w:pPr>
      <w:bookmarkStart w:id="8" w:name="_Toc441234566"/>
      <w:bookmarkStart w:id="9" w:name="_Toc441234647"/>
      <w:bookmarkStart w:id="10" w:name="_Toc441234851"/>
      <w:bookmarkStart w:id="11" w:name="_Toc441235307"/>
      <w:bookmarkStart w:id="12" w:name="_Toc441235652"/>
    </w:p>
    <w:p w14:paraId="47FA970B" w14:textId="77777777" w:rsidR="00881387" w:rsidRDefault="00881387" w:rsidP="0060691F">
      <w:pPr>
        <w:pStyle w:val="Normlntenzabezmezer"/>
      </w:pPr>
    </w:p>
    <w:p w14:paraId="73815E5B" w14:textId="77777777" w:rsidR="00300038" w:rsidRDefault="00794BFC" w:rsidP="002E118F">
      <w:pPr>
        <w:pStyle w:val="Nadpis2"/>
        <w:rPr>
          <w:lang w:eastAsia="cs-CZ"/>
        </w:rPr>
      </w:pPr>
      <w:bookmarkStart w:id="13" w:name="_Toc34654318"/>
      <w:bookmarkEnd w:id="8"/>
      <w:bookmarkEnd w:id="9"/>
      <w:bookmarkEnd w:id="10"/>
      <w:bookmarkEnd w:id="11"/>
      <w:bookmarkEnd w:id="12"/>
      <w:r>
        <w:rPr>
          <w:lang w:eastAsia="cs-CZ"/>
        </w:rPr>
        <w:t>2.</w:t>
      </w:r>
      <w:r w:rsidR="004526F7">
        <w:rPr>
          <w:lang w:eastAsia="cs-CZ"/>
        </w:rPr>
        <w:t xml:space="preserve"> </w:t>
      </w:r>
      <w:r>
        <w:rPr>
          <w:lang w:eastAsia="cs-CZ"/>
        </w:rPr>
        <w:t>Údaje o dosavadním využití a zastavěnosti území, o stavebním pozemku</w:t>
      </w:r>
      <w:bookmarkEnd w:id="13"/>
    </w:p>
    <w:p w14:paraId="450DAF56" w14:textId="77777777" w:rsidR="00881387" w:rsidRPr="00881387" w:rsidRDefault="00881387" w:rsidP="00881387">
      <w:r w:rsidRPr="00881387">
        <w:t xml:space="preserve">Objekt č. 03 – Sklad, hala I: </w:t>
      </w:r>
      <w:proofErr w:type="spellStart"/>
      <w:r w:rsidRPr="00881387">
        <w:t>p.č</w:t>
      </w:r>
      <w:proofErr w:type="spellEnd"/>
      <w:r w:rsidRPr="00881387">
        <w:t>. 7884/60</w:t>
      </w:r>
    </w:p>
    <w:p w14:paraId="390C4DD6" w14:textId="77777777" w:rsidR="00881387" w:rsidRPr="00881387" w:rsidRDefault="00881387" w:rsidP="00881387">
      <w:r w:rsidRPr="00881387">
        <w:t xml:space="preserve">Objekt č. 18 – Sklad netemperovaný: </w:t>
      </w:r>
      <w:proofErr w:type="spellStart"/>
      <w:r w:rsidRPr="00881387">
        <w:t>p.č</w:t>
      </w:r>
      <w:proofErr w:type="spellEnd"/>
      <w:r w:rsidRPr="00881387">
        <w:t>. 7884/</w:t>
      </w:r>
      <w:r w:rsidR="00A73927">
        <w:t>1</w:t>
      </w:r>
    </w:p>
    <w:p w14:paraId="2812CB2F" w14:textId="77777777" w:rsidR="00881387" w:rsidRPr="00881387" w:rsidRDefault="00881387" w:rsidP="00881387">
      <w:r w:rsidRPr="00881387">
        <w:t xml:space="preserve">Zpevněná plocha: </w:t>
      </w:r>
      <w:proofErr w:type="spellStart"/>
      <w:r w:rsidRPr="00881387">
        <w:t>p.č</w:t>
      </w:r>
      <w:proofErr w:type="spellEnd"/>
      <w:r w:rsidRPr="00881387">
        <w:t>. 7884/1</w:t>
      </w:r>
    </w:p>
    <w:p w14:paraId="740985A4" w14:textId="77777777" w:rsidR="00881387" w:rsidRPr="00881387" w:rsidRDefault="00881387" w:rsidP="00881387">
      <w:r w:rsidRPr="00881387">
        <w:t xml:space="preserve">Objekt č. 19 – Sklad temperovaný: </w:t>
      </w:r>
      <w:proofErr w:type="spellStart"/>
      <w:r w:rsidRPr="00881387">
        <w:t>p.č</w:t>
      </w:r>
      <w:proofErr w:type="spellEnd"/>
      <w:r w:rsidRPr="00881387">
        <w:t>. 7884/56</w:t>
      </w:r>
    </w:p>
    <w:p w14:paraId="2C58CDEE" w14:textId="77777777" w:rsidR="00881387" w:rsidRPr="00881387" w:rsidRDefault="00881387" w:rsidP="00881387">
      <w:r w:rsidRPr="00881387">
        <w:t xml:space="preserve">Objekt č. 20 – Sklad, hala II: </w:t>
      </w:r>
      <w:proofErr w:type="spellStart"/>
      <w:r w:rsidRPr="00881387">
        <w:t>p.č</w:t>
      </w:r>
      <w:proofErr w:type="spellEnd"/>
      <w:r w:rsidRPr="00881387">
        <w:t>. 7884/57</w:t>
      </w:r>
    </w:p>
    <w:p w14:paraId="65E0E5EC" w14:textId="77777777" w:rsidR="00881387" w:rsidRDefault="00881387" w:rsidP="00794BFC">
      <w:pPr>
        <w:pStyle w:val="Nadpis2"/>
        <w:rPr>
          <w:lang w:eastAsia="cs-CZ"/>
        </w:rPr>
      </w:pPr>
    </w:p>
    <w:p w14:paraId="7FE16CFE" w14:textId="77777777" w:rsidR="00794BFC" w:rsidRDefault="00794BFC" w:rsidP="00794BFC">
      <w:pPr>
        <w:pStyle w:val="Nadpis2"/>
        <w:rPr>
          <w:lang w:eastAsia="cs-CZ"/>
        </w:rPr>
      </w:pPr>
      <w:bookmarkStart w:id="14" w:name="_Toc34654319"/>
      <w:r>
        <w:rPr>
          <w:lang w:eastAsia="cs-CZ"/>
        </w:rPr>
        <w:t>3. Popis bouraných objektů</w:t>
      </w:r>
      <w:bookmarkEnd w:id="14"/>
    </w:p>
    <w:p w14:paraId="061F3973" w14:textId="77777777" w:rsidR="00794BFC" w:rsidRPr="00794BFC" w:rsidRDefault="00794BFC" w:rsidP="00794BFC">
      <w:pPr>
        <w:pStyle w:val="Normlntenzabezmezer"/>
        <w:rPr>
          <w:u w:val="single"/>
        </w:rPr>
      </w:pPr>
      <w:r w:rsidRPr="00794BFC">
        <w:rPr>
          <w:u w:val="single"/>
        </w:rPr>
        <w:t xml:space="preserve">Objekt č. 03 – Sklad, hala I: </w:t>
      </w:r>
      <w:proofErr w:type="spellStart"/>
      <w:r w:rsidRPr="00794BFC">
        <w:rPr>
          <w:u w:val="single"/>
        </w:rPr>
        <w:t>p.č</w:t>
      </w:r>
      <w:proofErr w:type="spellEnd"/>
      <w:r w:rsidRPr="00794BFC">
        <w:rPr>
          <w:u w:val="single"/>
        </w:rPr>
        <w:t>. 7884/60</w:t>
      </w:r>
    </w:p>
    <w:p w14:paraId="76EB96EA" w14:textId="77777777" w:rsidR="00794BFC" w:rsidRPr="00AB3541" w:rsidRDefault="00794BFC" w:rsidP="00794BFC">
      <w:pPr>
        <w:pStyle w:val="Normlntenzabezmezer"/>
      </w:pPr>
      <w:r w:rsidRPr="00AB3541">
        <w:t>Netemperovaný sklad tvoří jednolodní hala o 15 polích. Jednotlivá pole od sebe vzdálena po 3,6 m. Střešní a obvodovou konstrukci vynáší lehké ocelové příhradové rámy z trubkov</w:t>
      </w:r>
      <w:r w:rsidR="00865C64">
        <w:t>ý</w:t>
      </w:r>
      <w:r w:rsidRPr="00AB3541">
        <w:t>ch profilů. Základy haly monolitické železobetonové.</w:t>
      </w:r>
    </w:p>
    <w:p w14:paraId="47097A4E" w14:textId="77777777" w:rsidR="00794BFC" w:rsidRPr="00AB3541" w:rsidRDefault="00794BFC" w:rsidP="00794BFC">
      <w:pPr>
        <w:pStyle w:val="Normlntenzabezmezer"/>
      </w:pPr>
      <w:r w:rsidRPr="00AB3541">
        <w:t>Střecha sedlová i obvodové stěny z trapézových plechů. V obvodových stěnách osazeny ocelová vrata. Hala je uvnitř členěna na 5 částí. Členění provedeno za pomocí ocelové konstrukce a pletiva.</w:t>
      </w:r>
    </w:p>
    <w:p w14:paraId="51A5E05F" w14:textId="77777777" w:rsidR="00794BFC" w:rsidRPr="00AB3541" w:rsidRDefault="00794BFC" w:rsidP="00794BFC">
      <w:pPr>
        <w:pStyle w:val="Normlntenzabezmezer"/>
      </w:pPr>
      <w:r w:rsidRPr="00AB3541">
        <w:t>Podlaha z volně ložených panelů.</w:t>
      </w:r>
    </w:p>
    <w:p w14:paraId="639D74C7" w14:textId="77777777" w:rsidR="00794BFC" w:rsidRPr="00AB3541" w:rsidRDefault="00794BFC" w:rsidP="00794BFC">
      <w:pPr>
        <w:pStyle w:val="Normlntenzabezmezer"/>
      </w:pPr>
      <w:r w:rsidRPr="00AB3541">
        <w:t xml:space="preserve">Veškeré klempířské prvky z pozinkovaného plechu. Odvodnění vyvedeno na terén. </w:t>
      </w:r>
    </w:p>
    <w:p w14:paraId="2A95CF16" w14:textId="77777777" w:rsidR="00794BFC" w:rsidRPr="00AB3541" w:rsidRDefault="00794BFC" w:rsidP="00794BFC">
      <w:pPr>
        <w:pStyle w:val="Normlntenzabezmezer"/>
      </w:pPr>
      <w:r w:rsidRPr="00AB3541">
        <w:t xml:space="preserve">Sklad </w:t>
      </w:r>
      <w:r w:rsidR="00A73927">
        <w:t xml:space="preserve">je </w:t>
      </w:r>
      <w:r w:rsidRPr="00AB3541">
        <w:t>opatřen umělým osvětlením.</w:t>
      </w:r>
    </w:p>
    <w:p w14:paraId="50363BD5" w14:textId="77777777" w:rsidR="00794BFC" w:rsidRPr="00AB3541" w:rsidRDefault="00794BFC" w:rsidP="00794BFC">
      <w:pPr>
        <w:pStyle w:val="Normlntenzabezmezer"/>
      </w:pPr>
      <w:r w:rsidRPr="00AB3541">
        <w:t>Zastavěná plocha</w:t>
      </w:r>
      <w:r w:rsidRPr="00AB3541">
        <w:tab/>
      </w:r>
      <w:r w:rsidRPr="00AB3541">
        <w:tab/>
      </w:r>
      <w:r w:rsidRPr="00AB3541">
        <w:tab/>
      </w:r>
      <w:r w:rsidRPr="00AB3541">
        <w:tab/>
      </w:r>
      <w:r w:rsidRPr="00AB3541">
        <w:tab/>
      </w:r>
      <w:r w:rsidRPr="00AB3541">
        <w:tab/>
      </w:r>
      <w:r>
        <w:t>552</w:t>
      </w:r>
      <w:r w:rsidRPr="00AB3541">
        <w:t xml:space="preserve"> m</w:t>
      </w:r>
      <w:r w:rsidRPr="00AB3541">
        <w:rPr>
          <w:vertAlign w:val="superscript"/>
        </w:rPr>
        <w:t>2</w:t>
      </w:r>
    </w:p>
    <w:p w14:paraId="4BA24719" w14:textId="77777777" w:rsidR="00794BFC" w:rsidRPr="00AB3541" w:rsidRDefault="00794BFC" w:rsidP="00794BFC">
      <w:pPr>
        <w:pStyle w:val="Normlntenzabezmezer"/>
      </w:pPr>
    </w:p>
    <w:p w14:paraId="2B8E796D" w14:textId="77777777" w:rsidR="00794BFC" w:rsidRPr="00794BFC" w:rsidRDefault="00794BFC" w:rsidP="00794BFC">
      <w:pPr>
        <w:pStyle w:val="Normlntenzabezmezer"/>
        <w:rPr>
          <w:u w:val="single"/>
        </w:rPr>
      </w:pPr>
      <w:r w:rsidRPr="00794BFC">
        <w:rPr>
          <w:u w:val="single"/>
        </w:rPr>
        <w:t xml:space="preserve">Objekt č. 18 – Sklad netemperovaný: </w:t>
      </w:r>
      <w:proofErr w:type="spellStart"/>
      <w:r w:rsidRPr="00794BFC">
        <w:rPr>
          <w:u w:val="single"/>
        </w:rPr>
        <w:t>p.č</w:t>
      </w:r>
      <w:proofErr w:type="spellEnd"/>
      <w:r w:rsidRPr="00794BFC">
        <w:rPr>
          <w:u w:val="single"/>
        </w:rPr>
        <w:t>. 7884/</w:t>
      </w:r>
      <w:r w:rsidR="00A73927">
        <w:rPr>
          <w:u w:val="single"/>
        </w:rPr>
        <w:t>1</w:t>
      </w:r>
    </w:p>
    <w:p w14:paraId="13D5214B" w14:textId="77777777" w:rsidR="00794BFC" w:rsidRPr="00AB3541" w:rsidRDefault="00794BFC" w:rsidP="00794BFC">
      <w:pPr>
        <w:pStyle w:val="Normlntenzabezmezer"/>
      </w:pPr>
      <w:r w:rsidRPr="00AB3541">
        <w:t>Netemperovaný sklad tvoří jednolodní hala.</w:t>
      </w:r>
    </w:p>
    <w:p w14:paraId="726AF3CA" w14:textId="77777777" w:rsidR="00794BFC" w:rsidRPr="00AB3541" w:rsidRDefault="00794BFC" w:rsidP="00794BFC">
      <w:pPr>
        <w:pStyle w:val="Normlntenzabezmezer"/>
      </w:pPr>
      <w:r w:rsidRPr="00AB3541">
        <w:t>Střešní a obvodovou konstrukci vynáší ocelové rámy z otevřených válcovaných profilů. Základy haly monolitické železobetonové.</w:t>
      </w:r>
    </w:p>
    <w:p w14:paraId="0C177968" w14:textId="77777777" w:rsidR="00794BFC" w:rsidRPr="00AB3541" w:rsidRDefault="00794BFC" w:rsidP="00794BFC">
      <w:pPr>
        <w:pStyle w:val="Normlntenzabezmezer"/>
      </w:pPr>
      <w:r w:rsidRPr="00AB3541">
        <w:t>Střecha sedlová z trapézových plechů, kladených na dřevěné vaznice. Obvodové stěny nezateplené – trapézový plech na vodorovně kladených dřevěných paždících. V obvodových stěnách osazena ocelová vrata. Podlaha z volně ložených silničních panelů.</w:t>
      </w:r>
    </w:p>
    <w:p w14:paraId="7B994958" w14:textId="77777777" w:rsidR="00794BFC" w:rsidRPr="00AB3541" w:rsidRDefault="00794BFC" w:rsidP="00794BFC">
      <w:pPr>
        <w:pStyle w:val="Normlntenzabezmezer"/>
      </w:pPr>
      <w:r w:rsidRPr="00AB3541">
        <w:lastRenderedPageBreak/>
        <w:t>Veškeré klempířské prvky z pozinkovaného plechu. Odvodnění vyvedeno na terén.</w:t>
      </w:r>
    </w:p>
    <w:p w14:paraId="429FA882" w14:textId="77777777" w:rsidR="00794BFC" w:rsidRPr="00AB3541" w:rsidRDefault="00794BFC" w:rsidP="00794BFC">
      <w:pPr>
        <w:pStyle w:val="Normlntenzabezmezer"/>
      </w:pPr>
      <w:r w:rsidRPr="00AB3541">
        <w:t xml:space="preserve">Sklad </w:t>
      </w:r>
      <w:r w:rsidR="00A73927">
        <w:t xml:space="preserve">je </w:t>
      </w:r>
      <w:r w:rsidRPr="00AB3541">
        <w:t>opatřen umělým osvětlením.</w:t>
      </w:r>
    </w:p>
    <w:p w14:paraId="021060AB" w14:textId="77777777" w:rsidR="00794BFC" w:rsidRPr="00AB3541" w:rsidRDefault="00794BFC" w:rsidP="00794BFC">
      <w:pPr>
        <w:pStyle w:val="Normlntenzabezmezer"/>
      </w:pPr>
      <w:r w:rsidRPr="00AB3541">
        <w:t>Zastavěná plocha</w:t>
      </w:r>
      <w:r w:rsidRPr="00AB3541">
        <w:tab/>
      </w:r>
      <w:r w:rsidRPr="00AB3541">
        <w:tab/>
      </w:r>
      <w:r w:rsidRPr="00AB3541">
        <w:tab/>
      </w:r>
      <w:r w:rsidRPr="00AB3541">
        <w:tab/>
      </w:r>
      <w:r w:rsidRPr="00AB3541">
        <w:tab/>
      </w:r>
      <w:r w:rsidRPr="00AB3541">
        <w:tab/>
      </w:r>
      <w:r>
        <w:t>196</w:t>
      </w:r>
      <w:r w:rsidRPr="00AB3541">
        <w:t xml:space="preserve"> m</w:t>
      </w:r>
      <w:r w:rsidRPr="00AB3541">
        <w:rPr>
          <w:vertAlign w:val="superscript"/>
        </w:rPr>
        <w:t>2</w:t>
      </w:r>
    </w:p>
    <w:p w14:paraId="495920A4" w14:textId="77777777" w:rsidR="00B83965" w:rsidRDefault="00B83965" w:rsidP="00794BFC">
      <w:pPr>
        <w:pStyle w:val="Normlntenzabezmezer"/>
      </w:pPr>
    </w:p>
    <w:p w14:paraId="7B4606F9" w14:textId="77777777" w:rsidR="00B83965" w:rsidRPr="00794BFC" w:rsidRDefault="00B83965" w:rsidP="00B83965">
      <w:pPr>
        <w:pStyle w:val="Normlntenzabezmezer"/>
        <w:rPr>
          <w:u w:val="single"/>
        </w:rPr>
      </w:pPr>
      <w:r w:rsidRPr="00794BFC">
        <w:rPr>
          <w:u w:val="single"/>
        </w:rPr>
        <w:t xml:space="preserve">Zpevněná plocha na pozemcích: </w:t>
      </w:r>
      <w:proofErr w:type="spellStart"/>
      <w:r w:rsidRPr="00794BFC">
        <w:rPr>
          <w:u w:val="single"/>
        </w:rPr>
        <w:t>p.č</w:t>
      </w:r>
      <w:proofErr w:type="spellEnd"/>
      <w:r w:rsidRPr="00794BFC">
        <w:rPr>
          <w:u w:val="single"/>
        </w:rPr>
        <w:t>. 7884/1</w:t>
      </w:r>
    </w:p>
    <w:p w14:paraId="488675AB" w14:textId="77777777" w:rsidR="00B83965" w:rsidRPr="00AB3541" w:rsidRDefault="00B83965" w:rsidP="00B83965">
      <w:pPr>
        <w:pStyle w:val="Normlntenzabezmezer"/>
      </w:pPr>
      <w:r w:rsidRPr="00AB3541">
        <w:t>Zpevněná plocha vytvořena z prefabrikovaných silničních panelů volně ložených do štěrkopískového násypu. Rozsah zpevněné plochy je patrný z celkové situace stavby.</w:t>
      </w:r>
    </w:p>
    <w:p w14:paraId="695CFAA9" w14:textId="77777777" w:rsidR="00B83965" w:rsidRPr="00AB3541" w:rsidRDefault="00B83965" w:rsidP="00B83965">
      <w:pPr>
        <w:pStyle w:val="Normlntenzabezmezer"/>
      </w:pPr>
      <w:r w:rsidRPr="00AB3541">
        <w:t>Část zpevněné plochy opatřena lehkým ocelovým přístřeškem obdobné konstrukce jako netemperovaný sklad popsaný u objektu č. 18. Přístřešek je po obvodě a ve vnitřním členění opatřen plechem plným o výšce 2,0 m, odsazeným od úrovně podlahy 100 mm.</w:t>
      </w:r>
    </w:p>
    <w:p w14:paraId="2F09018F" w14:textId="77777777" w:rsidR="00B83965" w:rsidRPr="00AB3541" w:rsidRDefault="00B83965" w:rsidP="00B83965">
      <w:pPr>
        <w:pStyle w:val="Normlntenzabezmezer"/>
      </w:pPr>
      <w:r w:rsidRPr="00AB3541">
        <w:t>Součástí zpevněné plochy je i přízemní zděná dílna u objektu č. 18 s plochou střechou, o ploše podlahy 6,0 x 3,4 m. Dílna je opatřena to</w:t>
      </w:r>
      <w:r>
        <w:t>pením a je napojena na rozvody NN</w:t>
      </w:r>
      <w:r w:rsidR="00A056BB">
        <w:t xml:space="preserve"> (nízkého napětí)</w:t>
      </w:r>
      <w:r w:rsidRPr="00AB3541">
        <w:t xml:space="preserve"> – osvětlení, zásuvky. Tloušťka stěn 300 mm. Výška dílny 2,88 m. </w:t>
      </w:r>
      <w:r w:rsidRPr="004A797A">
        <w:t>S</w:t>
      </w:r>
      <w:r w:rsidRPr="00AB3541">
        <w:t>trop z lehké sendvičové konstrukce z vnější strany opatřena asfaltovou hydroizolací.</w:t>
      </w:r>
    </w:p>
    <w:p w14:paraId="078D8E77" w14:textId="77777777" w:rsidR="00B83965" w:rsidRPr="00AB3541" w:rsidRDefault="00B83965" w:rsidP="00B83965">
      <w:pPr>
        <w:pStyle w:val="Normlntenzabezmezer"/>
      </w:pPr>
      <w:r w:rsidRPr="00AB3541">
        <w:t>Zastavěná plocha s přístřeškem</w:t>
      </w:r>
      <w:r w:rsidRPr="00AB3541">
        <w:tab/>
      </w:r>
      <w:r w:rsidRPr="00AB3541">
        <w:tab/>
      </w:r>
      <w:r w:rsidRPr="00AB3541">
        <w:tab/>
      </w:r>
      <w:r w:rsidRPr="00AB3541">
        <w:tab/>
      </w:r>
      <w:r w:rsidRPr="00AB3541">
        <w:tab/>
        <w:t>221 m</w:t>
      </w:r>
      <w:r w:rsidRPr="00AB3541">
        <w:rPr>
          <w:vertAlign w:val="superscript"/>
        </w:rPr>
        <w:t>2</w:t>
      </w:r>
    </w:p>
    <w:p w14:paraId="5C9F1198" w14:textId="77777777" w:rsidR="00B83965" w:rsidRDefault="00B83965" w:rsidP="00794BFC">
      <w:pPr>
        <w:pStyle w:val="Normlntenzabezmezer"/>
      </w:pPr>
    </w:p>
    <w:p w14:paraId="5D72CE0E" w14:textId="77777777" w:rsidR="00794BFC" w:rsidRPr="00794BFC" w:rsidRDefault="00794BFC" w:rsidP="00794BFC">
      <w:pPr>
        <w:pStyle w:val="Normlntenzabezmezer"/>
        <w:rPr>
          <w:u w:val="single"/>
        </w:rPr>
      </w:pPr>
      <w:r w:rsidRPr="00794BFC">
        <w:rPr>
          <w:u w:val="single"/>
        </w:rPr>
        <w:t xml:space="preserve">Objekt č. 19 – Sklad temperovaný: </w:t>
      </w:r>
      <w:proofErr w:type="spellStart"/>
      <w:r w:rsidRPr="00794BFC">
        <w:rPr>
          <w:u w:val="single"/>
        </w:rPr>
        <w:t>p.č</w:t>
      </w:r>
      <w:proofErr w:type="spellEnd"/>
      <w:r w:rsidRPr="00794BFC">
        <w:rPr>
          <w:u w:val="single"/>
        </w:rPr>
        <w:t>. 7884/56</w:t>
      </w:r>
    </w:p>
    <w:p w14:paraId="1857E720" w14:textId="77777777" w:rsidR="00794BFC" w:rsidRPr="00AB3541" w:rsidRDefault="00794BFC" w:rsidP="00794BFC">
      <w:pPr>
        <w:pStyle w:val="Normlntenzabezmezer"/>
      </w:pPr>
      <w:r w:rsidRPr="00AB3541">
        <w:t>Temperovaný sklad tvoří jednolodní hala o 2 polích. Konstrukci haly vynáší ocelové rámy z otevřených válcovaných profilů. Základy monolitické železobetonové.</w:t>
      </w:r>
    </w:p>
    <w:p w14:paraId="7F4A69A6" w14:textId="77777777" w:rsidR="00794BFC" w:rsidRPr="00AB3541" w:rsidRDefault="00794BFC" w:rsidP="00794BFC">
      <w:pPr>
        <w:pStyle w:val="Normlntenzabezmezer"/>
      </w:pPr>
      <w:r w:rsidRPr="00AB3541">
        <w:t>Střecha sedlová z trapézových plechů.</w:t>
      </w:r>
    </w:p>
    <w:p w14:paraId="64C3F9E4" w14:textId="77777777" w:rsidR="00794BFC" w:rsidRPr="00AB3541" w:rsidRDefault="00794BFC" w:rsidP="00794BFC">
      <w:pPr>
        <w:pStyle w:val="Normlntenzabezmezer"/>
      </w:pPr>
      <w:r w:rsidRPr="00AB3541">
        <w:t>Obvodové stěny ze skládaného pláště s tepelnou izolací. Z vnější strany osazeny svisle kladené trapézové plechy, zevnitř stěny desky z pozinkovaného plechu.</w:t>
      </w:r>
    </w:p>
    <w:p w14:paraId="4D5691F2" w14:textId="77777777" w:rsidR="00794BFC" w:rsidRPr="00AB3541" w:rsidRDefault="00794BFC" w:rsidP="00794BFC">
      <w:pPr>
        <w:pStyle w:val="Normlntenzabezmezer"/>
      </w:pPr>
      <w:r w:rsidRPr="00AB3541">
        <w:t>V obvodových stěnách osazeny ocelová vrata a prosklená stěna.</w:t>
      </w:r>
    </w:p>
    <w:p w14:paraId="0D29BCE5" w14:textId="77777777" w:rsidR="00794BFC" w:rsidRPr="00AB3541" w:rsidRDefault="00794BFC" w:rsidP="00794BFC">
      <w:pPr>
        <w:pStyle w:val="Normlntenzabezmezer"/>
      </w:pPr>
      <w:r w:rsidRPr="00AB3541">
        <w:t>Podlaha betonová monolitická, dilatovaná.</w:t>
      </w:r>
    </w:p>
    <w:p w14:paraId="154057B7" w14:textId="77777777" w:rsidR="00794BFC" w:rsidRPr="00AB3541" w:rsidRDefault="00794BFC" w:rsidP="00794BFC">
      <w:pPr>
        <w:pStyle w:val="Normlntenzabezmezer"/>
      </w:pPr>
      <w:r w:rsidRPr="00AB3541">
        <w:t>Veškeré klempířské prvky z pozinkovaného plechu. Odvodnění vyvedeno na terén.</w:t>
      </w:r>
    </w:p>
    <w:p w14:paraId="6071B5A2" w14:textId="77777777" w:rsidR="00794BFC" w:rsidRPr="00AB3541" w:rsidRDefault="00794BFC" w:rsidP="00794BFC">
      <w:pPr>
        <w:pStyle w:val="Normlntenzabezmezer"/>
      </w:pPr>
      <w:r w:rsidRPr="00AB3541">
        <w:t>Sklad</w:t>
      </w:r>
      <w:r w:rsidR="00A73927">
        <w:t xml:space="preserve"> je</w:t>
      </w:r>
      <w:r w:rsidRPr="00AB3541">
        <w:t xml:space="preserve"> opatřen umělým osvětlením.</w:t>
      </w:r>
    </w:p>
    <w:p w14:paraId="055203DD" w14:textId="77777777" w:rsidR="00794BFC" w:rsidRPr="00AB3541" w:rsidRDefault="00794BFC" w:rsidP="00794BFC">
      <w:pPr>
        <w:pStyle w:val="Normlntenzabezmezer"/>
      </w:pPr>
      <w:r w:rsidRPr="00AB3541">
        <w:t>Zastavěná plocha</w:t>
      </w:r>
      <w:r w:rsidRPr="00AB3541">
        <w:tab/>
      </w:r>
      <w:r w:rsidRPr="00AB3541">
        <w:tab/>
      </w:r>
      <w:r w:rsidRPr="00AB3541">
        <w:tab/>
      </w:r>
      <w:r w:rsidRPr="00AB3541">
        <w:tab/>
      </w:r>
      <w:r w:rsidRPr="00AB3541">
        <w:tab/>
      </w:r>
      <w:r w:rsidRPr="00AB3541">
        <w:tab/>
        <w:t>165 m</w:t>
      </w:r>
      <w:r w:rsidRPr="00AB3541">
        <w:rPr>
          <w:vertAlign w:val="superscript"/>
        </w:rPr>
        <w:t>2</w:t>
      </w:r>
    </w:p>
    <w:p w14:paraId="366ADA00" w14:textId="77777777" w:rsidR="00794BFC" w:rsidRPr="0026082D" w:rsidRDefault="00794BFC" w:rsidP="00794BFC">
      <w:pPr>
        <w:pStyle w:val="Normlntenzabezmezer"/>
      </w:pPr>
    </w:p>
    <w:p w14:paraId="3C3A0BFD" w14:textId="77777777" w:rsidR="00794BFC" w:rsidRPr="00794BFC" w:rsidRDefault="00794BFC" w:rsidP="00794BFC">
      <w:pPr>
        <w:pStyle w:val="Normlntenzabezmezer"/>
        <w:rPr>
          <w:u w:val="single"/>
        </w:rPr>
      </w:pPr>
      <w:r w:rsidRPr="00794BFC">
        <w:rPr>
          <w:u w:val="single"/>
        </w:rPr>
        <w:t xml:space="preserve">Objekt č. 20 – Sklad, hala II: </w:t>
      </w:r>
      <w:proofErr w:type="spellStart"/>
      <w:r w:rsidRPr="00794BFC">
        <w:rPr>
          <w:u w:val="single"/>
        </w:rPr>
        <w:t>p.č</w:t>
      </w:r>
      <w:proofErr w:type="spellEnd"/>
      <w:r w:rsidRPr="00794BFC">
        <w:rPr>
          <w:u w:val="single"/>
        </w:rPr>
        <w:t>. 7884/57</w:t>
      </w:r>
    </w:p>
    <w:p w14:paraId="19EAC885" w14:textId="77777777" w:rsidR="00794BFC" w:rsidRPr="00AB3541" w:rsidRDefault="00794BFC" w:rsidP="00794BFC">
      <w:pPr>
        <w:pStyle w:val="Normlntenzabezmezer"/>
      </w:pPr>
      <w:r w:rsidRPr="00AB3541">
        <w:t>Netemperovaný sklad tvoří hala o 3 polích. Jednotlivá pole od sebe vzdálena po 5,0 m. Střešní a obvodovou konstrukci vynáší ocelové rámy z otevřených válcovaných profilů. Základy haly monolitické železobetonové.</w:t>
      </w:r>
    </w:p>
    <w:p w14:paraId="5F1B6776" w14:textId="77777777" w:rsidR="00794BFC" w:rsidRPr="00AB3541" w:rsidRDefault="00794BFC" w:rsidP="00794BFC">
      <w:pPr>
        <w:pStyle w:val="Normlntenzabezmezer"/>
      </w:pPr>
      <w:r w:rsidRPr="00AB3541">
        <w:t>Střecha pultová z trapézových plechů. Obvodové stěny zateplené, konstrukce skládané – zevnitř desky Cetris, tepelná izolace, trapézový svisle kladený plech.</w:t>
      </w:r>
    </w:p>
    <w:p w14:paraId="395D0F35" w14:textId="77777777" w:rsidR="00794BFC" w:rsidRPr="00AB3541" w:rsidRDefault="00794BFC" w:rsidP="00794BFC">
      <w:pPr>
        <w:pStyle w:val="Normlntenzabezmezer"/>
      </w:pPr>
      <w:r w:rsidRPr="00AB3541">
        <w:t>V obvodových stěnách osazena ocelová vrata a pás skleněných tvárnic, který haly prosvětluje. Hala není uvnitř členěna. Podlaha železobetonová monolitická, dilatovaná.</w:t>
      </w:r>
    </w:p>
    <w:p w14:paraId="421D28F7" w14:textId="77777777" w:rsidR="00794BFC" w:rsidRPr="00AB3541" w:rsidRDefault="00794BFC" w:rsidP="00794BFC">
      <w:pPr>
        <w:pStyle w:val="Normlntenzabezmezer"/>
      </w:pPr>
      <w:r w:rsidRPr="00AB3541">
        <w:t>Veškeré klempířské prvky z pozinkovaného plechu. Odvodnění vyvedeno na terén.</w:t>
      </w:r>
    </w:p>
    <w:p w14:paraId="73B954DC" w14:textId="77777777" w:rsidR="00794BFC" w:rsidRPr="00AB3541" w:rsidRDefault="00794BFC" w:rsidP="00794BFC">
      <w:pPr>
        <w:pStyle w:val="Normlntenzabezmezer"/>
      </w:pPr>
      <w:r w:rsidRPr="00AB3541">
        <w:t xml:space="preserve">Sklad </w:t>
      </w:r>
      <w:r w:rsidR="00A73927">
        <w:t xml:space="preserve">je </w:t>
      </w:r>
      <w:r w:rsidRPr="00AB3541">
        <w:t>opatřen umělým osvětlením.</w:t>
      </w:r>
    </w:p>
    <w:p w14:paraId="27F9608D" w14:textId="77777777" w:rsidR="00794BFC" w:rsidRPr="00AB3541" w:rsidRDefault="00794BFC" w:rsidP="00794BFC">
      <w:pPr>
        <w:pStyle w:val="Normlntenzabezmezer"/>
      </w:pPr>
      <w:r w:rsidRPr="00AB3541">
        <w:t>Zastavěná plocha</w:t>
      </w:r>
      <w:r w:rsidRPr="00AB3541">
        <w:tab/>
      </w:r>
      <w:r w:rsidRPr="00AB3541">
        <w:tab/>
      </w:r>
      <w:r w:rsidRPr="00AB3541">
        <w:tab/>
      </w:r>
      <w:r w:rsidRPr="00AB3541">
        <w:tab/>
      </w:r>
      <w:r w:rsidRPr="00AB3541">
        <w:tab/>
      </w:r>
      <w:r w:rsidRPr="00AB3541">
        <w:tab/>
        <w:t>153 m</w:t>
      </w:r>
      <w:r w:rsidRPr="00AB3541">
        <w:rPr>
          <w:vertAlign w:val="superscript"/>
        </w:rPr>
        <w:t>2</w:t>
      </w:r>
    </w:p>
    <w:p w14:paraId="24F9D8F7" w14:textId="77777777" w:rsidR="004A0B79" w:rsidRPr="0026082D" w:rsidRDefault="004A0B79" w:rsidP="00794BFC">
      <w:pPr>
        <w:spacing w:line="276" w:lineRule="auto"/>
        <w:rPr>
          <w:rFonts w:ascii="Arial Narrow" w:hAnsi="Arial Narrow"/>
        </w:rPr>
      </w:pPr>
    </w:p>
    <w:p w14:paraId="20054A1C" w14:textId="77777777" w:rsidR="00794BFC" w:rsidRPr="00794BFC" w:rsidRDefault="00794BFC" w:rsidP="00794BFC">
      <w:pPr>
        <w:pStyle w:val="Normlntenzabezmezer"/>
        <w:rPr>
          <w:u w:val="single"/>
        </w:rPr>
      </w:pPr>
      <w:r w:rsidRPr="00794BFC">
        <w:rPr>
          <w:u w:val="single"/>
        </w:rPr>
        <w:t>Poznámka</w:t>
      </w:r>
    </w:p>
    <w:p w14:paraId="05F8C780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t xml:space="preserve">Projektová dokumentace stávajících objektů je zkreslená dle </w:t>
      </w:r>
      <w:r w:rsidR="00B40CF3">
        <w:t>existujících</w:t>
      </w:r>
      <w:r w:rsidRPr="00AB3541">
        <w:t xml:space="preserve"> podkladů. </w:t>
      </w:r>
      <w:r w:rsidRPr="00AB3541">
        <w:rPr>
          <w:rFonts w:eastAsia="Calibri"/>
        </w:rPr>
        <w:t>Dále ne všechny podzemní konstrukce (základy, možné jímky apod.) jsou zcela známy, proto je nutno zohlednit to, že kubatury uvedené ve výkazech jsou v některých případech stanoveny pouze na základě odborného odhadu.</w:t>
      </w:r>
    </w:p>
    <w:p w14:paraId="340A3D3C" w14:textId="77777777" w:rsidR="00794BFC" w:rsidRPr="00D9190C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lastRenderedPageBreak/>
        <w:t>Přeložky a demolice stávajících inženýrských sítí apod. nejsou zahrnuty v této části dokumentace.</w:t>
      </w:r>
    </w:p>
    <w:p w14:paraId="07DC086F" w14:textId="77777777" w:rsidR="00794BFC" w:rsidRDefault="00794BFC" w:rsidP="00794BFC">
      <w:pPr>
        <w:pStyle w:val="Nadpis2"/>
        <w:rPr>
          <w:lang w:eastAsia="cs-CZ"/>
        </w:rPr>
      </w:pPr>
    </w:p>
    <w:p w14:paraId="1F3C3170" w14:textId="77777777" w:rsidR="00794BFC" w:rsidRDefault="00794BFC" w:rsidP="00794BFC">
      <w:pPr>
        <w:pStyle w:val="Nadpis2"/>
        <w:rPr>
          <w:lang w:eastAsia="cs-CZ"/>
        </w:rPr>
      </w:pPr>
      <w:bookmarkStart w:id="15" w:name="_Toc34654320"/>
      <w:r>
        <w:rPr>
          <w:lang w:eastAsia="cs-CZ"/>
        </w:rPr>
        <w:t>4. Popis technologického postupu bouracích prací</w:t>
      </w:r>
      <w:bookmarkEnd w:id="15"/>
    </w:p>
    <w:p w14:paraId="6341687B" w14:textId="77777777" w:rsidR="00794BFC" w:rsidRPr="00AB3541" w:rsidRDefault="00794BFC" w:rsidP="00794BFC">
      <w:pPr>
        <w:pStyle w:val="Normlntenzabezmezer"/>
      </w:pPr>
      <w:r w:rsidRPr="00AB3541">
        <w:t>Před zahájením bouracích prací se investor s dodavatelem dohodnou na zajištění odborného odpojení objektů od inženýrských sítí a na vytyčení podzemních rozvodů těchto sítí. Dále budou před zahájením prací zajištěna podružná měření odebrané energie pro potřeby dodavatelské firmy.</w:t>
      </w:r>
    </w:p>
    <w:p w14:paraId="5F522BDF" w14:textId="77777777" w:rsidR="00794BFC" w:rsidRPr="00AB3541" w:rsidRDefault="00794BFC" w:rsidP="00794BFC">
      <w:pPr>
        <w:pStyle w:val="Normlntenzabezmezer"/>
      </w:pPr>
      <w:r w:rsidRPr="00AB3541">
        <w:t>Dále dodavatel provede průzkum stavu objektů a jeho okolí, zjistí trasu inženýrských sítí a stav dotčených sousedních objektů. O provedeném průzkumu vyhotoví zápis.</w:t>
      </w:r>
    </w:p>
    <w:p w14:paraId="6E69E725" w14:textId="77777777" w:rsidR="00794BFC" w:rsidRPr="00AB3541" w:rsidRDefault="00794BFC" w:rsidP="00794BFC">
      <w:pPr>
        <w:pStyle w:val="Normlntenzabezmezer"/>
      </w:pPr>
      <w:r w:rsidRPr="00AB3541">
        <w:t>Podle výsledků průzkumu dodavatel demoličních prací vypracuje technologický postup těchto prací tak, aby v průběhu prací nedošlo k nekontrolovatelnému porušení stability objektů nebo jeho části, případně k porušení objektů sousedních.</w:t>
      </w:r>
    </w:p>
    <w:p w14:paraId="6FD56E2D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t>Při změně podmínek v průběhu bouracích prací se musí technologický postup upravit tak, aby byla vždy zajištěna bezpečnost práce i stabilita objektů.</w:t>
      </w:r>
    </w:p>
    <w:p w14:paraId="69F09860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Demolice objektů bude probíhat postupným rozebíráním, snášením konstrukcí střechy za pomocí jeřábů, demoličních nůžek, sortýrovacích drapáků a bouracích kladiv strojních mechanismů, ocelové konstrukce budou postupně upalovány. Veškerý materiál získaný při demoličních a demontážních pracích bude svisle transportován hydraulickou rukou daného mechanismu, ocelové konstrukce budou snášeny jeřábem o dostatečné nosnosti, následně bude separován na jednotlivé druhy materiálů a likvidován v souladu se zákonem č. 185/2001 Sb. a příslušných prováděcích vyhlášek.</w:t>
      </w:r>
    </w:p>
    <w:p w14:paraId="4E128798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 xml:space="preserve">Vybouraný a demontovaný materiál z demolic se roztřídí dle jednotlivých druhů a uloží na jednotlivé meziskládky. </w:t>
      </w:r>
    </w:p>
    <w:p w14:paraId="37E8C190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Ocelové konstrukce se rozpálí na vsázky vhodný šrot (tělesová úhlopříčka do 1,5 m) a ulož</w:t>
      </w:r>
      <w:r w:rsidRPr="00AB3541">
        <w:t>í</w:t>
      </w:r>
      <w:r w:rsidRPr="00AB3541">
        <w:rPr>
          <w:rFonts w:eastAsia="Calibri"/>
        </w:rPr>
        <w:t xml:space="preserve"> do přepravních nádob.</w:t>
      </w:r>
    </w:p>
    <w:p w14:paraId="77568800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Betonové konstrukce budou dle možností rozdrceny mobilním drtičem nebo odvezeny na meziskládku k případnému použití do podkladních vrstev a zpevněných ploch.</w:t>
      </w:r>
    </w:p>
    <w:p w14:paraId="4DAC6E45" w14:textId="77777777" w:rsidR="00794BFC" w:rsidRPr="00AB3541" w:rsidRDefault="00794BFC" w:rsidP="00794BFC">
      <w:pPr>
        <w:pStyle w:val="Normlntenzabezmezer"/>
      </w:pPr>
      <w:r w:rsidRPr="00AB3541">
        <w:rPr>
          <w:rFonts w:eastAsia="Calibri"/>
        </w:rPr>
        <w:t>Nebezpečný odpad jako např. kontaminované betony a zeminy apod. budou odvezeny k likvidaci nasmlouvanou odbornou firmou, která je odveze na určené skládky.</w:t>
      </w:r>
    </w:p>
    <w:p w14:paraId="6B0F3A16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Pro demoliční práce budou použita vhodná strojní zařízení s dostatečným dosahem tak, aby byla během demoličních prací dodržena max. míra bezpečnosti práce.</w:t>
      </w:r>
    </w:p>
    <w:p w14:paraId="423442D9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Konkrétní vybraný dodavatel demoličních prací podrobně zpracuje technologické postupy a „Plán bezpečnosti práce“ na jednotlivé technologické postupy.</w:t>
      </w:r>
    </w:p>
    <w:p w14:paraId="69F54530" w14:textId="77777777" w:rsidR="00794BFC" w:rsidRPr="00AB3541" w:rsidRDefault="00794BFC" w:rsidP="00794BFC">
      <w:pPr>
        <w:pStyle w:val="Normlntenzabezmezer"/>
        <w:rPr>
          <w:rFonts w:eastAsia="Calibri"/>
          <w:lang w:eastAsia="en-US"/>
        </w:rPr>
      </w:pPr>
      <w:r w:rsidRPr="00AB3541">
        <w:rPr>
          <w:rFonts w:eastAsia="Calibri"/>
          <w:lang w:eastAsia="en-US"/>
        </w:rPr>
        <w:t>Na stavbě budou používány jen stroje, mechanizmy a zařízení, které svou konstrukcí, technickým stavem a provedením odpovídají předpisům k zajištění bezpečnosti práce a technických zařízení a jsou vybaveny pokyny pro obsluhu a údržbu s návodem k obsluze v českém jazyce.</w:t>
      </w:r>
    </w:p>
    <w:p w14:paraId="016C31C9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 xml:space="preserve">Bourání objektů vyšších než přízemních, strhávání nebo bourání svislých konstrukcí od výšky </w:t>
      </w:r>
      <w:smartTag w:uri="urn:schemas-microsoft-com:office:smarttags" w:element="metricconverter">
        <w:smartTagPr>
          <w:attr w:name="ProductID" w:val="3 m"/>
        </w:smartTagPr>
        <w:r w:rsidRPr="00AB3541">
          <w:rPr>
            <w:rFonts w:eastAsia="Calibri"/>
          </w:rPr>
          <w:t>3 m</w:t>
        </w:r>
      </w:smartTag>
      <w:r w:rsidRPr="00AB3541">
        <w:rPr>
          <w:rFonts w:eastAsia="Calibri"/>
        </w:rPr>
        <w:t>, bourání, při kterém dochází ke změně konstrukční bezpečnosti objektu, strojní bourání, bourání speciálními metodami a bourací práce nad sebou mohou provádět jen kvalifikovaní pracovníci pod stálým dozorem odpovědného pracovníka. Stálá přítomnost odpovědného pracovníka je rovněž nutná při současném bourání dvěma nebo více četami.</w:t>
      </w:r>
    </w:p>
    <w:p w14:paraId="2EBE9C5A" w14:textId="77777777" w:rsidR="00794BFC" w:rsidRDefault="00794BFC" w:rsidP="00794BFC">
      <w:pPr>
        <w:pStyle w:val="Normlntenzabezmezer"/>
        <w:rPr>
          <w:rFonts w:eastAsia="Calibri"/>
        </w:rPr>
      </w:pPr>
    </w:p>
    <w:p w14:paraId="6180E23D" w14:textId="77777777" w:rsidR="006D4C9C" w:rsidRDefault="006D4C9C" w:rsidP="00794BFC">
      <w:pPr>
        <w:pStyle w:val="Normlntenzabezmezer"/>
        <w:rPr>
          <w:rFonts w:eastAsia="Calibri"/>
        </w:rPr>
      </w:pPr>
    </w:p>
    <w:p w14:paraId="287436AF" w14:textId="77777777" w:rsidR="006D4C9C" w:rsidRPr="00AB3541" w:rsidRDefault="006D4C9C" w:rsidP="00794BFC">
      <w:pPr>
        <w:pStyle w:val="Normlntenzabezmezer"/>
        <w:rPr>
          <w:rFonts w:eastAsia="Calibri"/>
        </w:rPr>
      </w:pPr>
    </w:p>
    <w:p w14:paraId="0D62A4C1" w14:textId="77777777" w:rsidR="00794BFC" w:rsidRPr="00794BFC" w:rsidRDefault="00794BFC" w:rsidP="00794BFC">
      <w:pPr>
        <w:pStyle w:val="Normlntenzabezmezer"/>
        <w:rPr>
          <w:rFonts w:eastAsia="Calibri"/>
          <w:u w:val="single"/>
        </w:rPr>
      </w:pPr>
      <w:r w:rsidRPr="00794BFC">
        <w:rPr>
          <w:rFonts w:eastAsia="Calibri"/>
          <w:u w:val="single"/>
        </w:rPr>
        <w:lastRenderedPageBreak/>
        <w:t>Přípravné práce</w:t>
      </w:r>
    </w:p>
    <w:p w14:paraId="1C57370A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Před zahájením bouracích prací se musí vymezit ohrožený prostor podle technologie prováděných prací, zajistit ho proti vstupu nepovolaných osob, dále se vyznačí místa pro umístění kontejnerů na stavební odpad.</w:t>
      </w:r>
    </w:p>
    <w:p w14:paraId="58E73394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 xml:space="preserve">Zajištěny musí být i vstupy do objektů i ochrana veřejného zájmu ohroženého těmito pracemi. Případné dutiny nebo podzemní objekty se musí před započetím bouracích prací zasypat nebo zajistit jiným způsobem. </w:t>
      </w:r>
    </w:p>
    <w:p w14:paraId="38B29067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 xml:space="preserve">Při bourání se musí zajistit ohrožený prostor, ve kterém se práce provádějí. V zastavěném území se musí vymezit plným oplocením do výšky </w:t>
      </w:r>
      <w:r w:rsidR="00B40CF3">
        <w:rPr>
          <w:rFonts w:eastAsia="Calibri"/>
        </w:rPr>
        <w:t>2</w:t>
      </w:r>
      <w:r w:rsidRPr="00AB3541">
        <w:rPr>
          <w:rFonts w:eastAsia="Calibri"/>
        </w:rPr>
        <w:t xml:space="preserve"> m, pokud tomu nebrání technologie bourání. Není-li možno prostor oplotit, musí se zajistit jiným vhodným způsobem. Bourat se musí tak, aby nedošlo k ohrožení vedlejších objektů. Vybouraný materiál musí být skladován tak, aby neomezoval další průběh bouracích prací.</w:t>
      </w:r>
    </w:p>
    <w:p w14:paraId="355A9EE1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Skleněné a jiné nebezpečné ostrohranné předměty musí být při ručním bourání odstraňovány, aby nebyly zdrojem úrazu. Bourání nesmí být přerušeno, dokud není zajištěna stabilita bourané konstrukce nebo její části. Tento požadavek platí i v případě nutného přerušení bourání z důvodu náhlého zhoršení povětrnostních podmínek.</w:t>
      </w:r>
    </w:p>
    <w:p w14:paraId="708DE0F2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Vstupy, výstupy a vjezdy do okolí bouraných objektů musí být zajištěny od zahájení prací až do jejich ukončení a viditelně označeny.</w:t>
      </w:r>
    </w:p>
    <w:p w14:paraId="0DFBA17F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Zahájení bouracích prací se může uskutečnit jen na základě písemného příkazu odpovědného pracovníka dodavatele stavebních prací a po vybavení pracoviště dle technologického postupu.</w:t>
      </w:r>
    </w:p>
    <w:p w14:paraId="096F491A" w14:textId="77777777" w:rsidR="00794BFC" w:rsidRPr="00AB3541" w:rsidRDefault="00794BFC" w:rsidP="00794BFC">
      <w:pPr>
        <w:pStyle w:val="Normlntenzabezmezer"/>
        <w:rPr>
          <w:rFonts w:eastAsia="Calibri"/>
          <w:lang w:eastAsia="en-US"/>
        </w:rPr>
      </w:pPr>
      <w:r w:rsidRPr="00AB3541">
        <w:rPr>
          <w:rFonts w:eastAsia="Calibri"/>
          <w:lang w:eastAsia="en-US"/>
        </w:rPr>
        <w:t>V průběhu prací je nutné konstrukce podle potřeby kropit vodou, aby se omezila prašnost.</w:t>
      </w:r>
    </w:p>
    <w:p w14:paraId="0D541442" w14:textId="77777777" w:rsidR="00794BFC" w:rsidRPr="00AB3541" w:rsidRDefault="00794BFC" w:rsidP="00794BFC">
      <w:pPr>
        <w:pStyle w:val="Normlntenzabezmezer"/>
        <w:rPr>
          <w:rFonts w:eastAsia="Calibri"/>
          <w:lang w:eastAsia="en-US"/>
        </w:rPr>
      </w:pPr>
    </w:p>
    <w:p w14:paraId="6D99E916" w14:textId="77777777" w:rsidR="00794BFC" w:rsidRPr="00794BFC" w:rsidRDefault="00794BFC" w:rsidP="00794BFC">
      <w:pPr>
        <w:pStyle w:val="Normlntenzabezmezer"/>
        <w:rPr>
          <w:rFonts w:eastAsia="Calibri"/>
          <w:u w:val="single"/>
        </w:rPr>
      </w:pPr>
      <w:r w:rsidRPr="00794BFC">
        <w:rPr>
          <w:rFonts w:eastAsia="Calibri"/>
          <w:u w:val="single"/>
        </w:rPr>
        <w:t>Zavezení terénní nerovnosti</w:t>
      </w:r>
    </w:p>
    <w:p w14:paraId="448FEB46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rPr>
          <w:rFonts w:eastAsia="Calibri"/>
        </w:rPr>
        <w:t>Část stavební suti bude uložena na meziskládce, v případě potřeby bude k tomu vhodná suť předrcena a použita na zasypání výkopů po demoličních pracích. Zásypový materiál bude hutněn po vrstvách vysokých nejvýše 30</w:t>
      </w:r>
      <w:r w:rsidR="00A056BB">
        <w:rPr>
          <w:rFonts w:eastAsia="Calibri"/>
        </w:rPr>
        <w:t> </w:t>
      </w:r>
      <w:r w:rsidRPr="00AB3541">
        <w:rPr>
          <w:rFonts w:eastAsia="Calibri"/>
        </w:rPr>
        <w:t>cm.</w:t>
      </w:r>
    </w:p>
    <w:p w14:paraId="6041C70D" w14:textId="77777777" w:rsidR="00794BFC" w:rsidRPr="00AB3541" w:rsidRDefault="00794BFC" w:rsidP="00794BFC">
      <w:pPr>
        <w:pStyle w:val="Normlntenzabezmezer"/>
      </w:pPr>
    </w:p>
    <w:p w14:paraId="567E29C5" w14:textId="77777777" w:rsidR="00794BFC" w:rsidRPr="00794BFC" w:rsidRDefault="00794BFC" w:rsidP="00794BFC">
      <w:pPr>
        <w:pStyle w:val="Normlntenzabezmezer"/>
        <w:rPr>
          <w:u w:val="single"/>
        </w:rPr>
      </w:pPr>
      <w:r w:rsidRPr="00794BFC">
        <w:rPr>
          <w:u w:val="single"/>
        </w:rPr>
        <w:t>Podzemní překážky</w:t>
      </w:r>
    </w:p>
    <w:p w14:paraId="4115418F" w14:textId="77777777" w:rsidR="00794BFC" w:rsidRPr="00AB3541" w:rsidRDefault="00794BFC" w:rsidP="00794BFC">
      <w:pPr>
        <w:pStyle w:val="Normlntenzabezmezer"/>
        <w:rPr>
          <w:rFonts w:eastAsia="Calibri"/>
        </w:rPr>
      </w:pPr>
      <w:r w:rsidRPr="00AB3541">
        <w:t>V</w:t>
      </w:r>
      <w:r w:rsidRPr="00AB3541">
        <w:rPr>
          <w:rFonts w:eastAsia="Calibri"/>
        </w:rPr>
        <w:t> prostoru staveniště se mohou nacházet různé podzemní zakryté konstrukce a inženýrské sítě, jejichž poloha není dosud známa (staré šachtice, jímky apod.). Přesnější informace se získají po odkrytí nadloží. V případě nalezení takovýchto konstrukcí je nutno informovat projektanta a po konzultaci s objednatelem bude rozhodnuto o jejich event. odstranění.</w:t>
      </w:r>
    </w:p>
    <w:p w14:paraId="6780E05E" w14:textId="77777777" w:rsidR="00794BFC" w:rsidRPr="00AB3541" w:rsidRDefault="00794BFC" w:rsidP="00794BFC">
      <w:pPr>
        <w:pStyle w:val="Normlntenzabezmezer"/>
        <w:rPr>
          <w:rFonts w:eastAsia="Calibri"/>
        </w:rPr>
      </w:pPr>
    </w:p>
    <w:p w14:paraId="562C52AF" w14:textId="77777777" w:rsidR="00794BFC" w:rsidRPr="00794BFC" w:rsidRDefault="00794BFC" w:rsidP="00794BFC">
      <w:pPr>
        <w:pStyle w:val="Normlntenzabezmezer"/>
        <w:rPr>
          <w:rFonts w:eastAsia="Calibri"/>
          <w:u w:val="single"/>
        </w:rPr>
      </w:pPr>
      <w:r w:rsidRPr="00794BFC">
        <w:rPr>
          <w:rFonts w:eastAsia="Calibri"/>
          <w:u w:val="single"/>
        </w:rPr>
        <w:t>Bezpečnost a ochrana zdraví při práci</w:t>
      </w:r>
    </w:p>
    <w:p w14:paraId="7D6CE9EC" w14:textId="77777777" w:rsidR="00794BFC" w:rsidRPr="00AB3541" w:rsidRDefault="00794BFC" w:rsidP="00794BFC">
      <w:pPr>
        <w:pStyle w:val="Normlntenzabezmezer"/>
      </w:pPr>
      <w:r w:rsidRPr="00AB3541">
        <w:t>Při převzetí staveniště dodavatelem bouracích prací musí být všechny bourané objekty odpojeny od inženýrských sítí, o čemž také bude pořízen zápis.</w:t>
      </w:r>
    </w:p>
    <w:p w14:paraId="56570795" w14:textId="77777777" w:rsidR="00794BFC" w:rsidRPr="00AB3541" w:rsidRDefault="00794BFC" w:rsidP="00794BFC">
      <w:pPr>
        <w:pStyle w:val="Normlntenzabezmezer"/>
      </w:pPr>
    </w:p>
    <w:p w14:paraId="63CABAEA" w14:textId="77777777" w:rsidR="00794BFC" w:rsidRPr="00AB3541" w:rsidRDefault="00794BFC" w:rsidP="00794BFC">
      <w:pPr>
        <w:pStyle w:val="Normlntenzabezmezer"/>
      </w:pPr>
      <w:r w:rsidRPr="00AB3541">
        <w:t>Bourací práce smí provádět jen firma k tomuto oprávněná. Musí také dodržovat všechny současné platné české předpisy týkající se bezpečnosti a ochrany zdraví při práci, viz níže.</w:t>
      </w:r>
    </w:p>
    <w:p w14:paraId="73719066" w14:textId="77777777" w:rsidR="00794BFC" w:rsidRPr="00AB3541" w:rsidRDefault="00794BFC" w:rsidP="00794BFC">
      <w:pPr>
        <w:pStyle w:val="Normlntenzabezmezer"/>
      </w:pPr>
      <w:r w:rsidRPr="00AB3541">
        <w:t xml:space="preserve">Ještě před přípravnými pracemi musí být staveniště řádně ohrazeno oplocením, které musí být opatřeno výstražnými nápisy, aby se zamezilo vstupu nepovolných osob. V případě potřeby bude nadto staveniště střeženo pověřeným pracovníkem. V zastavěném území se musí vymezit plným oplocením do výšky </w:t>
      </w:r>
      <w:r w:rsidR="00B40CF3">
        <w:t>2 </w:t>
      </w:r>
      <w:r w:rsidRPr="00AB3541">
        <w:t>m, pokud tomu nebrání technologie bourání. Není-li možno prostor oplotit, musí se zajistit jiným vhodným způsobem. Za vhodný způsob zajištění ohrožených prostorů se považuje vyloučení provozu, použití ochranné konstrukce v úrovni práce ve výšce nebo použití záchytné konstrukce, ohrazení dvou</w:t>
      </w:r>
      <w:r>
        <w:t>-</w:t>
      </w:r>
      <w:r w:rsidRPr="00AB3541">
        <w:t xml:space="preserve">tyčovým zábradlím </w:t>
      </w:r>
      <w:r w:rsidRPr="00AB3541">
        <w:lastRenderedPageBreak/>
        <w:t>minimální výšky 1,1</w:t>
      </w:r>
      <w:r w:rsidR="00A056BB">
        <w:t> </w:t>
      </w:r>
      <w:r w:rsidRPr="00AB3541">
        <w:t xml:space="preserve">m s tyčemi upevněnými na nosných sloupcích s dostatečnou stabilitou nebo střežení prostoru určeným odpovědným pracovníkem po celou dobu ohrožení. Zajištěny musí být i vstupy do objektů i ochrana veřejného zájmu ohroženého těmito pracemi. Případné dutiny nebo podzemní objekty se musí před započetím bouracích prací zasypat nebo zajistit jiným způsobem. </w:t>
      </w:r>
    </w:p>
    <w:p w14:paraId="66BDA0BF" w14:textId="77777777" w:rsidR="00794BFC" w:rsidRPr="00AB3541" w:rsidRDefault="00794BFC" w:rsidP="00794BFC">
      <w:pPr>
        <w:pStyle w:val="Normlntenzabezmezer"/>
      </w:pPr>
      <w:r w:rsidRPr="00AB3541">
        <w:t>Vstupy, výstupy a vjezdy do okolí bouraných objektů musí být zajištěny od zahájení prací až do jejich ukončení a viditelně označeny.</w:t>
      </w:r>
    </w:p>
    <w:p w14:paraId="13CCBDCB" w14:textId="77777777" w:rsidR="00794BFC" w:rsidRPr="00AB3541" w:rsidRDefault="00794BFC" w:rsidP="00794BFC">
      <w:pPr>
        <w:pStyle w:val="Normlntenzabezmezer"/>
      </w:pPr>
      <w:r w:rsidRPr="00AB3541">
        <w:t>Ochranné pásmo vymezující ohrazením ohrožený prostor musí mít šířku od okraje pracoviště nebo pracovní podlahy nejméně 1,5</w:t>
      </w:r>
      <w:r w:rsidR="00A056BB">
        <w:t> </w:t>
      </w:r>
      <w:r w:rsidRPr="00AB3541">
        <w:t>m (práce ve výšce od 3</w:t>
      </w:r>
      <w:r w:rsidR="00A056BB">
        <w:t> </w:t>
      </w:r>
      <w:r w:rsidRPr="00AB3541">
        <w:t>m do 10</w:t>
      </w:r>
      <w:r w:rsidR="00A056BB">
        <w:t> </w:t>
      </w:r>
      <w:r w:rsidRPr="00AB3541">
        <w:t>m včetně). V místech svislé dopravy materiálu kladkami se rozšiřuje ochranné pásmo o 1</w:t>
      </w:r>
      <w:r w:rsidR="00A056BB">
        <w:t> </w:t>
      </w:r>
      <w:r w:rsidRPr="00AB3541">
        <w:t xml:space="preserve">m na všechny strany od půdorysu dopravovaného břemene. </w:t>
      </w:r>
    </w:p>
    <w:p w14:paraId="3099D8A2" w14:textId="77777777" w:rsidR="00794BFC" w:rsidRPr="00AB3541" w:rsidRDefault="00794BFC" w:rsidP="00794BFC">
      <w:pPr>
        <w:pStyle w:val="Normlntenzabezmezer"/>
      </w:pPr>
      <w:r w:rsidRPr="00AB3541">
        <w:t>Při demontážích a bourání se postupuje vždy shora dolů. Na bourané konstrukci nesmí ležet žádná jiná konstrukce ani stavební suť. Suť musí být průběžně odstraňována, aby nedošlo k přetěžování stávajících konstrukcí či pracovního lešení. Bouraný a demontovaný materiál může být shazován jen na zabezpečený prostor nebo uzavřeným shozem. Je zakázáno shazování plechů, desek a podobných materiálů, u kterých není zřejmé, kam dopadnou.</w:t>
      </w:r>
    </w:p>
    <w:p w14:paraId="1918880F" w14:textId="77777777" w:rsidR="00794BFC" w:rsidRPr="00AB3541" w:rsidRDefault="00794BFC" w:rsidP="00794BFC">
      <w:pPr>
        <w:pStyle w:val="Normlntenzabezmezer"/>
      </w:pPr>
      <w:r w:rsidRPr="00AB3541">
        <w:t>Při používání žebříku lze provádět práce do 3</w:t>
      </w:r>
      <w:r w:rsidR="00A056BB">
        <w:t> </w:t>
      </w:r>
      <w:r w:rsidRPr="00AB3541">
        <w:t>m, při větší výšce musí pracovník použít osobní ochranné pomůcky. Na žebříku lze provádět krátkodobé fyzicky namáhavé práce, nesmí být prováděny práce pneumatickým nářadím.</w:t>
      </w:r>
    </w:p>
    <w:p w14:paraId="5D286CAE" w14:textId="77777777" w:rsidR="00794BFC" w:rsidRPr="00AB3541" w:rsidRDefault="00794BFC" w:rsidP="00794BFC">
      <w:pPr>
        <w:pStyle w:val="Normlntenzabezmezer"/>
      </w:pPr>
      <w:r w:rsidRPr="00AB3541">
        <w:t>Při bouracích pracích je zakázáno pracovat nad sebou, pokud pro tuto situaci není zpracován technologický plán a na průběh prací pak musí po celou dobu trvání dohlížet pověřený zodpovědný pracovník.</w:t>
      </w:r>
    </w:p>
    <w:p w14:paraId="72DE491E" w14:textId="77777777" w:rsidR="00794BFC" w:rsidRPr="00AB3541" w:rsidRDefault="00794BFC" w:rsidP="00794BFC">
      <w:pPr>
        <w:pStyle w:val="Normlntenzabezmezer"/>
      </w:pPr>
      <w:r w:rsidRPr="00AB3541">
        <w:t>Práce nesmí být prováděny za mimořádných podmínek - např. silný vítr, déšť, velký mráz apod.</w:t>
      </w:r>
    </w:p>
    <w:p w14:paraId="54A7F20B" w14:textId="77777777" w:rsidR="00794BFC" w:rsidRPr="00AB3541" w:rsidRDefault="00794BFC" w:rsidP="00794BFC">
      <w:pPr>
        <w:pStyle w:val="Normlntenzabezmezer"/>
      </w:pPr>
      <w:r w:rsidRPr="00AB3541">
        <w:t>Práce nesmí být prováděny osamoceným pracovníkem.</w:t>
      </w:r>
    </w:p>
    <w:p w14:paraId="49FD6A6F" w14:textId="77777777" w:rsidR="00794BFC" w:rsidRPr="00AB3541" w:rsidRDefault="00794BFC" w:rsidP="00794BFC">
      <w:pPr>
        <w:pStyle w:val="Normlntenzabezmezer"/>
      </w:pPr>
      <w:r w:rsidRPr="00AB3541">
        <w:t>Bourací práce je nutno provádět za stálého dozoru odpovědného pracovníka, který se nesmí z pracoviště během prací vzdálit.</w:t>
      </w:r>
    </w:p>
    <w:p w14:paraId="19E90762" w14:textId="77777777" w:rsidR="00794BFC" w:rsidRDefault="00794BFC" w:rsidP="00794BFC">
      <w:pPr>
        <w:pStyle w:val="Normlntenzabezmezer"/>
      </w:pPr>
    </w:p>
    <w:p w14:paraId="1BCCF306" w14:textId="77777777" w:rsidR="00794BFC" w:rsidRPr="00AB3541" w:rsidRDefault="00794BFC" w:rsidP="00794BFC">
      <w:pPr>
        <w:pStyle w:val="Normlntenzabezmezer"/>
      </w:pPr>
      <w:r w:rsidRPr="00AB3541">
        <w:t>Všichni pracovníci musí být seznámeni s technologickým postupem, bezpečnostními předpisy, zásadami bezpečného chování, možnými místy a zdroji ohrožení.</w:t>
      </w:r>
    </w:p>
    <w:p w14:paraId="2093FE67" w14:textId="77777777" w:rsidR="00794BFC" w:rsidRPr="00AB3541" w:rsidRDefault="00794BFC" w:rsidP="00794BFC">
      <w:pPr>
        <w:pStyle w:val="Normlntenzabezmezer"/>
      </w:pPr>
    </w:p>
    <w:p w14:paraId="68938B5C" w14:textId="77777777" w:rsidR="00794BFC" w:rsidRPr="00AB3541" w:rsidRDefault="00794BFC" w:rsidP="00794BFC">
      <w:pPr>
        <w:pStyle w:val="Normlntenzabezmezer"/>
        <w:rPr>
          <w:rFonts w:eastAsia="Calibri"/>
          <w:lang w:eastAsia="en-US"/>
        </w:rPr>
      </w:pPr>
      <w:r w:rsidRPr="00AB3541">
        <w:rPr>
          <w:rFonts w:eastAsia="Calibri"/>
          <w:lang w:eastAsia="en-US"/>
        </w:rPr>
        <w:t>Veškeré práce spojené s demolicí objektů a odstraněním suti budou prováděny odbornými firmami s oprávněním k této činnosti. Veškeré bourací práce se budou provádět v souladu se zákony a předpisy:</w:t>
      </w:r>
    </w:p>
    <w:p w14:paraId="7F562F5F" w14:textId="77777777" w:rsidR="00794BFC" w:rsidRPr="00AB3541" w:rsidRDefault="00794BFC" w:rsidP="00794BFC">
      <w:pPr>
        <w:pStyle w:val="Stylnadpis2"/>
        <w:spacing w:line="276" w:lineRule="auto"/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14:paraId="28643F62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t xml:space="preserve">zákon č. 262 / 2006 Sb. Zákoník práce,  </w:t>
      </w:r>
    </w:p>
    <w:p w14:paraId="28E04D6C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t>zákon č. 309/2006 Sb. ze dne 23. 5. 2006,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 w14:paraId="4006F244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t xml:space="preserve">nařízení vlády č. 362/2005 Sb. o bližších požadavcích na bezpečnost a ochranu zdraví při práci na pracovištích s nebezpečím pádu z výšky nebo do hloubky </w:t>
      </w:r>
    </w:p>
    <w:p w14:paraId="6588DFDC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t>nařízení vlády č. 591/2006 Sb. o bližších minimálních požadavcích na bezpečnost a ochranu zdraví při práci na staveništích</w:t>
      </w:r>
    </w:p>
    <w:p w14:paraId="4F00EDDC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t>nařízení vlády č. 378/2001 Sb., kterým se stanoví bližší požadavky na bezpečný provoz a používání strojů a technických zařízení,</w:t>
      </w:r>
    </w:p>
    <w:p w14:paraId="71B2032F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lastRenderedPageBreak/>
        <w:t>nařízení vlády č. 495/2001 Sb., kterým se stanoví rozsah a bližší podmínky poskytování osobních ochranných pracovních prostředků,</w:t>
      </w:r>
    </w:p>
    <w:p w14:paraId="5531225A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t>nařízení vlády č. 101/2005 Sb. o podrobnějších požadavcích na pracoviště a pracovní prostředí,</w:t>
      </w:r>
    </w:p>
    <w:p w14:paraId="58FFAF56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t xml:space="preserve">vyhláška č. 48/1982 Sb., kterou se stanoví základní požadavky k zajištění bezpečnosti a technických zařízení, </w:t>
      </w:r>
    </w:p>
    <w:p w14:paraId="63F64B82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t>stavební zákon 183/2006 Sb. v platném znění</w:t>
      </w:r>
    </w:p>
    <w:p w14:paraId="7ABBAF30" w14:textId="77777777" w:rsidR="00794BFC" w:rsidRPr="00AB3541" w:rsidRDefault="00794BFC" w:rsidP="004A0B79">
      <w:pPr>
        <w:pStyle w:val="Normlntenzabezmezer"/>
        <w:numPr>
          <w:ilvl w:val="0"/>
          <w:numId w:val="10"/>
        </w:numPr>
      </w:pPr>
      <w:r w:rsidRPr="00AB3541">
        <w:t>zákon č.185/2001 Sb., o odpadech v platném znění</w:t>
      </w:r>
    </w:p>
    <w:p w14:paraId="0D3CB309" w14:textId="77777777" w:rsidR="00794BFC" w:rsidRDefault="00794BFC" w:rsidP="00794BFC">
      <w:pPr>
        <w:pStyle w:val="Normlntenzabezmezer"/>
        <w:rPr>
          <w:u w:val="single"/>
        </w:rPr>
      </w:pPr>
    </w:p>
    <w:p w14:paraId="6CAD17A4" w14:textId="77777777" w:rsidR="00794BFC" w:rsidRPr="00794BFC" w:rsidRDefault="00794BFC" w:rsidP="00794BFC">
      <w:pPr>
        <w:pStyle w:val="Normlntenzabezmezer"/>
        <w:rPr>
          <w:u w:val="single"/>
        </w:rPr>
      </w:pPr>
      <w:r w:rsidRPr="00794BFC">
        <w:rPr>
          <w:u w:val="single"/>
        </w:rPr>
        <w:t>Závěr</w:t>
      </w:r>
    </w:p>
    <w:p w14:paraId="4770D155" w14:textId="77777777" w:rsidR="00794BFC" w:rsidRPr="00AB3541" w:rsidRDefault="00794BFC" w:rsidP="00794BFC">
      <w:pPr>
        <w:pStyle w:val="Normlntenzabezmezer"/>
      </w:pPr>
      <w:r w:rsidRPr="00AB3541">
        <w:t xml:space="preserve">Provedení bouracích prací musí byt s ohledem na stávající sousedící objekty a konstrukce. Nesmí dojít k porušení a poškození těchto objektů a konstrukcí. V blízkosti přilehlých nosných konstrukcí sousedních objektů musí být použity bezvibrační technologie (řezání, pálení aj.). </w:t>
      </w:r>
    </w:p>
    <w:p w14:paraId="4E1B934D" w14:textId="77777777" w:rsidR="00794BFC" w:rsidRPr="00AB3541" w:rsidRDefault="00794BFC" w:rsidP="00794BFC">
      <w:pPr>
        <w:pStyle w:val="Normlntenzabezmezer"/>
      </w:pPr>
      <w:r w:rsidRPr="00AB3541">
        <w:t xml:space="preserve">Práce budou prováděny moderními stroji a vozidly, kde nedochází k úniku ropných látek a u kterých jsou emise spalin minimální. </w:t>
      </w:r>
    </w:p>
    <w:p w14:paraId="12EEE09E" w14:textId="77777777" w:rsidR="00794BFC" w:rsidRPr="00AB3541" w:rsidRDefault="00794BFC" w:rsidP="00794BFC">
      <w:pPr>
        <w:pStyle w:val="Normlntenzabezmezer"/>
      </w:pPr>
      <w:r w:rsidRPr="00AB3541">
        <w:t>Demoliční činnost bude prováděna především hydraulickými nůžkami – nevznikají vibrace ani zplodiny.</w:t>
      </w:r>
    </w:p>
    <w:p w14:paraId="712BD999" w14:textId="77777777" w:rsidR="00794BFC" w:rsidRDefault="00794BFC" w:rsidP="00794BFC">
      <w:pPr>
        <w:rPr>
          <w:lang w:eastAsia="cs-CZ"/>
        </w:rPr>
      </w:pPr>
    </w:p>
    <w:p w14:paraId="3A47B85F" w14:textId="77777777" w:rsidR="004A0B79" w:rsidRPr="00794BFC" w:rsidRDefault="004A0B79" w:rsidP="004A0B79">
      <w:pPr>
        <w:rPr>
          <w:lang w:eastAsia="cs-CZ"/>
        </w:rPr>
      </w:pPr>
    </w:p>
    <w:p w14:paraId="6C78DCAA" w14:textId="77777777" w:rsidR="009D4935" w:rsidRDefault="009D4935" w:rsidP="00794BFC">
      <w:pPr>
        <w:rPr>
          <w:lang w:eastAsia="cs-CZ"/>
        </w:rPr>
      </w:pPr>
    </w:p>
    <w:p w14:paraId="73B662E3" w14:textId="77777777" w:rsidR="009D4935" w:rsidRDefault="009D4935" w:rsidP="00794BFC">
      <w:pPr>
        <w:rPr>
          <w:lang w:eastAsia="cs-CZ"/>
        </w:rPr>
      </w:pPr>
    </w:p>
    <w:p w14:paraId="36FC857E" w14:textId="77777777" w:rsidR="009D4935" w:rsidRDefault="009D4935" w:rsidP="00794BFC">
      <w:pPr>
        <w:rPr>
          <w:lang w:eastAsia="cs-CZ"/>
        </w:rPr>
      </w:pPr>
    </w:p>
    <w:p w14:paraId="109A0353" w14:textId="77777777" w:rsidR="009D4935" w:rsidRDefault="009D4935" w:rsidP="00794BFC">
      <w:pPr>
        <w:rPr>
          <w:lang w:eastAsia="cs-CZ"/>
        </w:rPr>
      </w:pPr>
    </w:p>
    <w:p w14:paraId="7F7E44BD" w14:textId="77777777" w:rsidR="009D4935" w:rsidRDefault="009D4935" w:rsidP="00794BFC">
      <w:pPr>
        <w:rPr>
          <w:lang w:eastAsia="cs-CZ"/>
        </w:rPr>
      </w:pPr>
    </w:p>
    <w:p w14:paraId="2A2012B4" w14:textId="77777777" w:rsidR="009D4935" w:rsidRDefault="009D4935" w:rsidP="00794BFC">
      <w:pPr>
        <w:rPr>
          <w:lang w:eastAsia="cs-CZ"/>
        </w:rPr>
      </w:pPr>
    </w:p>
    <w:p w14:paraId="2B7A499A" w14:textId="77777777" w:rsidR="009D4935" w:rsidRDefault="009D4935" w:rsidP="00794BFC">
      <w:pPr>
        <w:rPr>
          <w:lang w:eastAsia="cs-CZ"/>
        </w:rPr>
      </w:pPr>
    </w:p>
    <w:p w14:paraId="0D6653FE" w14:textId="77777777" w:rsidR="009D4935" w:rsidRDefault="009D4935" w:rsidP="00794BFC">
      <w:pPr>
        <w:rPr>
          <w:lang w:eastAsia="cs-CZ"/>
        </w:rPr>
      </w:pPr>
    </w:p>
    <w:p w14:paraId="29B0EFD9" w14:textId="77777777" w:rsidR="009D4935" w:rsidRDefault="009D4935" w:rsidP="00794BFC">
      <w:pPr>
        <w:rPr>
          <w:lang w:eastAsia="cs-CZ"/>
        </w:rPr>
      </w:pPr>
    </w:p>
    <w:p w14:paraId="03EE10A2" w14:textId="77777777" w:rsidR="009D4935" w:rsidRDefault="009D4935" w:rsidP="00794BFC">
      <w:pPr>
        <w:rPr>
          <w:lang w:eastAsia="cs-CZ"/>
        </w:rPr>
      </w:pPr>
    </w:p>
    <w:p w14:paraId="5F00BE30" w14:textId="77777777" w:rsidR="009D4935" w:rsidRDefault="009D4935" w:rsidP="00794BFC">
      <w:pPr>
        <w:rPr>
          <w:lang w:eastAsia="cs-CZ"/>
        </w:rPr>
      </w:pPr>
    </w:p>
    <w:p w14:paraId="3A8D1F24" w14:textId="77777777" w:rsidR="009D4935" w:rsidRDefault="009D4935" w:rsidP="00794BFC">
      <w:pPr>
        <w:rPr>
          <w:lang w:eastAsia="cs-CZ"/>
        </w:rPr>
      </w:pPr>
    </w:p>
    <w:p w14:paraId="52F06A8A" w14:textId="77777777" w:rsidR="009D4935" w:rsidRDefault="009D4935" w:rsidP="00794BFC">
      <w:pPr>
        <w:rPr>
          <w:lang w:eastAsia="cs-CZ"/>
        </w:rPr>
      </w:pPr>
    </w:p>
    <w:p w14:paraId="6C340E64" w14:textId="77777777" w:rsidR="009D4935" w:rsidRDefault="009D4935" w:rsidP="00794BFC">
      <w:pPr>
        <w:rPr>
          <w:lang w:eastAsia="cs-CZ"/>
        </w:rPr>
      </w:pPr>
    </w:p>
    <w:p w14:paraId="2418FF80" w14:textId="77777777" w:rsidR="00354204" w:rsidRDefault="00354204" w:rsidP="00794BFC">
      <w:pPr>
        <w:rPr>
          <w:lang w:eastAsia="cs-CZ"/>
        </w:rPr>
      </w:pPr>
    </w:p>
    <w:p w14:paraId="6E0E9E00" w14:textId="77777777" w:rsidR="00354204" w:rsidRDefault="00354204" w:rsidP="00794BFC">
      <w:pPr>
        <w:rPr>
          <w:lang w:eastAsia="cs-CZ"/>
        </w:rPr>
      </w:pPr>
    </w:p>
    <w:p w14:paraId="41D0514C" w14:textId="77777777" w:rsidR="00354204" w:rsidRDefault="00354204" w:rsidP="00794BFC">
      <w:pPr>
        <w:rPr>
          <w:lang w:eastAsia="cs-CZ"/>
        </w:rPr>
      </w:pPr>
    </w:p>
    <w:p w14:paraId="6FCBAEA4" w14:textId="77777777" w:rsidR="009D4935" w:rsidRPr="00794BFC" w:rsidRDefault="009D4935" w:rsidP="00794BFC">
      <w:pPr>
        <w:rPr>
          <w:lang w:eastAsia="cs-CZ"/>
        </w:rPr>
      </w:pPr>
    </w:p>
    <w:p w14:paraId="73F7C834" w14:textId="77777777" w:rsidR="001A0585" w:rsidRDefault="00354204" w:rsidP="001A0585">
      <w:pPr>
        <w:pStyle w:val="Nadpis2"/>
        <w:rPr>
          <w:lang w:eastAsia="cs-CZ"/>
        </w:rPr>
      </w:pPr>
      <w:bookmarkStart w:id="16" w:name="_Toc34654321"/>
      <w:r>
        <w:rPr>
          <w:lang w:eastAsia="cs-CZ"/>
        </w:rPr>
        <w:lastRenderedPageBreak/>
        <w:t>5</w:t>
      </w:r>
      <w:r w:rsidR="004A0B79">
        <w:rPr>
          <w:lang w:eastAsia="cs-CZ"/>
        </w:rPr>
        <w:t xml:space="preserve">. </w:t>
      </w:r>
      <w:r w:rsidR="001A0585">
        <w:rPr>
          <w:lang w:eastAsia="cs-CZ"/>
        </w:rPr>
        <w:t>Fotodokumentace</w:t>
      </w:r>
      <w:bookmarkEnd w:id="16"/>
      <w:r w:rsidR="001A0585">
        <w:rPr>
          <w:lang w:eastAsia="cs-CZ"/>
        </w:rPr>
        <w:t xml:space="preserve"> </w:t>
      </w:r>
    </w:p>
    <w:p w14:paraId="03C87233" w14:textId="17C3AC6A" w:rsidR="000346FA" w:rsidRDefault="000346FA" w:rsidP="000346FA">
      <w:pPr>
        <w:pStyle w:val="Titulek"/>
      </w:pPr>
      <w:r>
        <w:t xml:space="preserve">Obrázek </w:t>
      </w:r>
      <w:fldSimple w:instr=" SEQ Obrázek \* ARABIC ">
        <w:r w:rsidR="0035793F">
          <w:rPr>
            <w:noProof/>
          </w:rPr>
          <w:t>1</w:t>
        </w:r>
      </w:fldSimple>
      <w:r w:rsidR="00354204">
        <w:t>. –</w:t>
      </w:r>
      <w:r>
        <w:t xml:space="preserve"> Objekt č. 03</w:t>
      </w:r>
    </w:p>
    <w:p w14:paraId="3BD1B305" w14:textId="77777777" w:rsidR="000346FA" w:rsidRDefault="000346FA" w:rsidP="000346FA">
      <w:r>
        <w:rPr>
          <w:rFonts w:ascii="Arial Narrow" w:hAnsi="Arial Narrow" w:cs="Arial"/>
          <w:b/>
          <w:noProof/>
          <w:u w:val="single"/>
          <w:lang w:eastAsia="cs-CZ"/>
        </w:rPr>
        <w:drawing>
          <wp:inline distT="0" distB="0" distL="0" distR="0" wp14:anchorId="706C0912" wp14:editId="7BA4DF3D">
            <wp:extent cx="3099435" cy="2321560"/>
            <wp:effectExtent l="19050" t="0" r="5715" b="0"/>
            <wp:docPr id="2" name="obrázek 6" descr="C:\Users\vengmi\Documents\2019\574-32565_SAKO Brno - demolice\Podklady_KasnAl\SAKO Brno\foto_191119\bourání\DSCN0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C:\Users\vengmi\Documents\2019\574-32565_SAKO Brno - demolice\Podklady_KasnAl\SAKO Brno\foto_191119\bourání\DSCN01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232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CD8BE6" w14:textId="77777777" w:rsidR="000346FA" w:rsidRDefault="000346FA" w:rsidP="000346FA"/>
    <w:p w14:paraId="467CE287" w14:textId="3B012BE2" w:rsidR="000346FA" w:rsidRPr="00354204" w:rsidRDefault="000346FA" w:rsidP="00354204">
      <w:pPr>
        <w:rPr>
          <w:sz w:val="20"/>
          <w:szCs w:val="20"/>
        </w:rPr>
      </w:pPr>
      <w:bookmarkStart w:id="17" w:name="_Toc21934540"/>
      <w:r w:rsidRPr="00354204">
        <w:rPr>
          <w:sz w:val="20"/>
          <w:szCs w:val="20"/>
        </w:rPr>
        <w:t xml:space="preserve">Obrázek </w:t>
      </w:r>
      <w:r w:rsidR="00075612" w:rsidRPr="00354204">
        <w:rPr>
          <w:sz w:val="20"/>
          <w:szCs w:val="20"/>
        </w:rPr>
        <w:fldChar w:fldCharType="begin"/>
      </w:r>
      <w:r w:rsidR="00496BB0" w:rsidRPr="00354204">
        <w:rPr>
          <w:sz w:val="20"/>
          <w:szCs w:val="20"/>
        </w:rPr>
        <w:instrText xml:space="preserve"> SEQ Obrázek \* ARABIC </w:instrText>
      </w:r>
      <w:r w:rsidR="00075612" w:rsidRPr="00354204">
        <w:rPr>
          <w:sz w:val="20"/>
          <w:szCs w:val="20"/>
        </w:rPr>
        <w:fldChar w:fldCharType="separate"/>
      </w:r>
      <w:r w:rsidR="0035793F">
        <w:rPr>
          <w:noProof/>
          <w:sz w:val="20"/>
          <w:szCs w:val="20"/>
        </w:rPr>
        <w:t>2</w:t>
      </w:r>
      <w:r w:rsidR="00075612" w:rsidRPr="00354204">
        <w:rPr>
          <w:sz w:val="20"/>
          <w:szCs w:val="20"/>
        </w:rPr>
        <w:fldChar w:fldCharType="end"/>
      </w:r>
      <w:r w:rsidR="00354204" w:rsidRPr="00354204">
        <w:rPr>
          <w:sz w:val="20"/>
          <w:szCs w:val="20"/>
        </w:rPr>
        <w:t>. –</w:t>
      </w:r>
      <w:r w:rsidRPr="00354204">
        <w:rPr>
          <w:sz w:val="20"/>
          <w:szCs w:val="20"/>
        </w:rPr>
        <w:t xml:space="preserve"> Objekt č. 18</w:t>
      </w:r>
      <w:bookmarkEnd w:id="17"/>
    </w:p>
    <w:p w14:paraId="400B2524" w14:textId="77777777" w:rsidR="00427BC5" w:rsidRDefault="00427BC5" w:rsidP="00427BC5">
      <w:r>
        <w:rPr>
          <w:rFonts w:ascii="Arial Narrow" w:hAnsi="Arial Narrow" w:cs="Arial"/>
          <w:b/>
          <w:noProof/>
          <w:u w:val="single"/>
          <w:lang w:eastAsia="cs-CZ"/>
        </w:rPr>
        <w:drawing>
          <wp:inline distT="0" distB="0" distL="0" distR="0" wp14:anchorId="7F150FFB" wp14:editId="661314E1">
            <wp:extent cx="3099435" cy="2321560"/>
            <wp:effectExtent l="19050" t="0" r="5715" b="0"/>
            <wp:docPr id="4" name="obrázek 2" descr="C:\Users\vengmi\Documents\2019\574-32565_SAKO Brno - demolice\Podklady_KasnAl\SAKO Brno\foto_191119\bourání\DSCN0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vengmi\Documents\2019\574-32565_SAKO Brno - demolice\Podklady_KasnAl\SAKO Brno\foto_191119\bourání\DSCN01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232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9CB697" w14:textId="77777777" w:rsidR="00427BC5" w:rsidRDefault="00427BC5" w:rsidP="00427BC5"/>
    <w:p w14:paraId="45157088" w14:textId="7D7369CE" w:rsidR="00427BC5" w:rsidRPr="006301B3" w:rsidRDefault="00427BC5" w:rsidP="00427BC5">
      <w:pPr>
        <w:rPr>
          <w:sz w:val="20"/>
          <w:szCs w:val="20"/>
        </w:rPr>
      </w:pPr>
      <w:r w:rsidRPr="006301B3">
        <w:rPr>
          <w:sz w:val="20"/>
          <w:szCs w:val="20"/>
        </w:rPr>
        <w:t xml:space="preserve">Obrázek </w:t>
      </w:r>
      <w:r w:rsidR="00075612" w:rsidRPr="006301B3">
        <w:rPr>
          <w:sz w:val="20"/>
          <w:szCs w:val="20"/>
        </w:rPr>
        <w:fldChar w:fldCharType="begin"/>
      </w:r>
      <w:r w:rsidR="00496BB0" w:rsidRPr="006301B3">
        <w:rPr>
          <w:sz w:val="20"/>
          <w:szCs w:val="20"/>
        </w:rPr>
        <w:instrText xml:space="preserve"> SEQ Obrázek \* ARABIC </w:instrText>
      </w:r>
      <w:r w:rsidR="00075612" w:rsidRPr="006301B3">
        <w:rPr>
          <w:sz w:val="20"/>
          <w:szCs w:val="20"/>
        </w:rPr>
        <w:fldChar w:fldCharType="separate"/>
      </w:r>
      <w:r w:rsidR="0035793F">
        <w:rPr>
          <w:noProof/>
          <w:sz w:val="20"/>
          <w:szCs w:val="20"/>
        </w:rPr>
        <w:t>3</w:t>
      </w:r>
      <w:r w:rsidR="00075612" w:rsidRPr="006301B3">
        <w:rPr>
          <w:sz w:val="20"/>
          <w:szCs w:val="20"/>
        </w:rPr>
        <w:fldChar w:fldCharType="end"/>
      </w:r>
      <w:r w:rsidR="00354204" w:rsidRPr="006301B3">
        <w:rPr>
          <w:sz w:val="20"/>
          <w:szCs w:val="20"/>
        </w:rPr>
        <w:t>. –</w:t>
      </w:r>
      <w:r w:rsidRPr="006301B3">
        <w:rPr>
          <w:sz w:val="20"/>
          <w:szCs w:val="20"/>
        </w:rPr>
        <w:t xml:space="preserve"> Přístavek objekt č. 18</w:t>
      </w:r>
    </w:p>
    <w:p w14:paraId="628AFBA7" w14:textId="77777777" w:rsidR="00427BC5" w:rsidRDefault="00427BC5" w:rsidP="00427BC5">
      <w:r>
        <w:rPr>
          <w:rFonts w:ascii="Arial Narrow" w:hAnsi="Arial Narrow" w:cs="Arial"/>
          <w:b/>
          <w:noProof/>
          <w:u w:val="single"/>
          <w:lang w:eastAsia="cs-CZ"/>
        </w:rPr>
        <w:drawing>
          <wp:inline distT="0" distB="0" distL="0" distR="0" wp14:anchorId="0514EFF5" wp14:editId="0F4632EB">
            <wp:extent cx="3099435" cy="2321560"/>
            <wp:effectExtent l="19050" t="0" r="5715" b="0"/>
            <wp:docPr id="3" name="obrázek 5" descr="C:\Users\vengmi\Documents\2019\574-32565_SAKO Brno - demolice\Podklady_KasnAl\SAKO Brno\foto_191119\bourání\DSCN0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:\Users\vengmi\Documents\2019\574-32565_SAKO Brno - demolice\Podklady_KasnAl\SAKO Brno\foto_191119\bourání\DSCN011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232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E5253D" w14:textId="77777777" w:rsidR="00317BB1" w:rsidRDefault="00317BB1" w:rsidP="00427BC5"/>
    <w:p w14:paraId="59D25A65" w14:textId="3004AEF6" w:rsidR="00317BB1" w:rsidRPr="006301B3" w:rsidRDefault="00317BB1" w:rsidP="00427BC5">
      <w:r w:rsidRPr="006301B3">
        <w:t xml:space="preserve">Obrázek </w:t>
      </w:r>
      <w:fldSimple w:instr=" SEQ Obrázek \* ARABIC ">
        <w:r w:rsidR="0035793F">
          <w:rPr>
            <w:noProof/>
          </w:rPr>
          <w:t>4</w:t>
        </w:r>
      </w:fldSimple>
      <w:r w:rsidR="00354204" w:rsidRPr="006301B3">
        <w:t>. –</w:t>
      </w:r>
      <w:r w:rsidRPr="006301B3">
        <w:t xml:space="preserve"> Objekt č. 19</w:t>
      </w:r>
    </w:p>
    <w:p w14:paraId="75E2A83C" w14:textId="77777777" w:rsidR="00317BB1" w:rsidRDefault="00317BB1" w:rsidP="00427BC5">
      <w:r>
        <w:rPr>
          <w:noProof/>
          <w:lang w:eastAsia="cs-CZ"/>
        </w:rPr>
        <w:drawing>
          <wp:inline distT="0" distB="0" distL="0" distR="0" wp14:anchorId="131C1B98" wp14:editId="385B4EDE">
            <wp:extent cx="3101340" cy="2339340"/>
            <wp:effectExtent l="19050" t="0" r="3810" b="0"/>
            <wp:docPr id="10" name="obrázek 3" descr="C:\Users\vengmi\Documents\2019\574-32565_SAKO Brno - demolice\Podklady_KasnAl\SAKO Brno\foto_191119\bourání\DSCN0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:\Users\vengmi\Documents\2019\574-32565_SAKO Brno - demolice\Podklady_KasnAl\SAKO Brno\foto_191119\bourání\DSCN01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5CF3F2" w14:textId="77777777" w:rsidR="00317BB1" w:rsidRDefault="00317BB1" w:rsidP="00427BC5"/>
    <w:p w14:paraId="70073EFD" w14:textId="77777777" w:rsidR="00317BB1" w:rsidRPr="006301B3" w:rsidRDefault="00317BB1" w:rsidP="00427BC5">
      <w:pPr>
        <w:rPr>
          <w:rFonts w:cs="Arial"/>
          <w:sz w:val="20"/>
          <w:szCs w:val="20"/>
        </w:rPr>
      </w:pPr>
      <w:r w:rsidRPr="006301B3">
        <w:rPr>
          <w:rFonts w:cs="Arial"/>
          <w:sz w:val="20"/>
          <w:szCs w:val="20"/>
        </w:rPr>
        <w:t>Obrázek 5</w:t>
      </w:r>
      <w:r w:rsidR="00354204" w:rsidRPr="006301B3">
        <w:rPr>
          <w:rFonts w:cs="Arial"/>
          <w:sz w:val="20"/>
          <w:szCs w:val="20"/>
        </w:rPr>
        <w:t>.</w:t>
      </w:r>
      <w:r w:rsidRPr="006301B3">
        <w:rPr>
          <w:rFonts w:cs="Arial"/>
          <w:sz w:val="20"/>
          <w:szCs w:val="20"/>
        </w:rPr>
        <w:t xml:space="preserve"> </w:t>
      </w:r>
      <w:r w:rsidR="00354204" w:rsidRPr="006301B3">
        <w:rPr>
          <w:rFonts w:cs="Arial"/>
          <w:sz w:val="20"/>
          <w:szCs w:val="20"/>
        </w:rPr>
        <w:t xml:space="preserve">– </w:t>
      </w:r>
      <w:r w:rsidRPr="006301B3">
        <w:rPr>
          <w:rFonts w:cs="Arial"/>
          <w:sz w:val="20"/>
          <w:szCs w:val="20"/>
        </w:rPr>
        <w:t>Objekt č. 20</w:t>
      </w:r>
    </w:p>
    <w:p w14:paraId="610852F7" w14:textId="77777777" w:rsidR="00317BB1" w:rsidRPr="00427BC5" w:rsidRDefault="00317BB1" w:rsidP="00427BC5">
      <w:r>
        <w:rPr>
          <w:rFonts w:ascii="Arial Narrow" w:hAnsi="Arial Narrow" w:cs="Arial"/>
          <w:b/>
          <w:noProof/>
          <w:u w:val="single"/>
          <w:lang w:eastAsia="cs-CZ"/>
        </w:rPr>
        <w:drawing>
          <wp:inline distT="0" distB="0" distL="0" distR="0" wp14:anchorId="21ED5A6A" wp14:editId="29B25E17">
            <wp:extent cx="3101340" cy="2324100"/>
            <wp:effectExtent l="19050" t="0" r="3810" b="0"/>
            <wp:docPr id="13" name="obrázek 4" descr="C:\Users\vengmi\Documents\2019\574-32565_SAKO Brno - demolice\Podklady_KasnAl\SAKO Brno\foto_191119\bourání\DSCN0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:\Users\vengmi\Documents\2019\574-32565_SAKO Brno - demolice\Podklady_KasnAl\SAKO Brno\foto_191119\bourání\DSCN011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7BB1" w:rsidRPr="00427BC5" w:rsidSect="00410798">
      <w:footerReference w:type="default" r:id="rId14"/>
      <w:headerReference w:type="first" r:id="rId15"/>
      <w:footerReference w:type="first" r:id="rId16"/>
      <w:pgSz w:w="11906" w:h="16838" w:code="9"/>
      <w:pgMar w:top="1236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E3D6C" w14:textId="77777777" w:rsidR="00692EB2" w:rsidRDefault="00692EB2" w:rsidP="00887574">
      <w:pPr>
        <w:spacing w:after="0" w:line="240" w:lineRule="auto"/>
      </w:pPr>
      <w:r>
        <w:separator/>
      </w:r>
    </w:p>
  </w:endnote>
  <w:endnote w:type="continuationSeparator" w:id="0">
    <w:p w14:paraId="318F7845" w14:textId="77777777" w:rsidR="00692EB2" w:rsidRDefault="00692EB2" w:rsidP="0088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koda Pro">
    <w:altName w:val="Calibri"/>
    <w:charset w:val="EE"/>
    <w:family w:val="auto"/>
    <w:pitch w:val="variable"/>
    <w:sig w:usb0="800002EF" w:usb1="4000204A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584958"/>
      <w:docPartObj>
        <w:docPartGallery w:val="Page Numbers (Bottom of Page)"/>
        <w:docPartUnique/>
      </w:docPartObj>
    </w:sdtPr>
    <w:sdtEndPr/>
    <w:sdtContent>
      <w:p w14:paraId="3EE29602" w14:textId="77777777" w:rsidR="00665D6D" w:rsidRDefault="00E32FA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1D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15A1A35F" w14:textId="77777777" w:rsidR="00665D6D" w:rsidRDefault="00665D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48" w:type="dxa"/>
      <w:tblInd w:w="-1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"/>
      <w:gridCol w:w="1842"/>
      <w:gridCol w:w="1134"/>
      <w:gridCol w:w="1843"/>
      <w:gridCol w:w="1276"/>
      <w:gridCol w:w="2268"/>
    </w:tblGrid>
    <w:tr w:rsidR="00665D6D" w:rsidRPr="00524CC7" w14:paraId="0429035A" w14:textId="77777777" w:rsidTr="00665D6D">
      <w:trPr>
        <w:trHeight w:val="284"/>
      </w:trPr>
      <w:tc>
        <w:tcPr>
          <w:tcW w:w="985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7D0C28BF" w14:textId="77777777" w:rsidR="00665D6D" w:rsidRPr="00524CC7" w:rsidRDefault="00665D6D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>Vypracoval:</w:t>
          </w:r>
        </w:p>
      </w:tc>
      <w:tc>
        <w:tcPr>
          <w:tcW w:w="1842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56841AED" w14:textId="77777777" w:rsidR="00665D6D" w:rsidRPr="00524CC7" w:rsidRDefault="00665D6D" w:rsidP="00B731DC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 xml:space="preserve">Milena Venglářová 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2509D389" w14:textId="77777777" w:rsidR="00665D6D" w:rsidRPr="00524CC7" w:rsidRDefault="00665D6D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>Kontroloval:</w:t>
          </w:r>
        </w:p>
      </w:tc>
      <w:tc>
        <w:tcPr>
          <w:tcW w:w="1843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0504F5A8" w14:textId="77777777" w:rsidR="00665D6D" w:rsidRPr="00524CC7" w:rsidRDefault="00665D6D" w:rsidP="009F5386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 xml:space="preserve">Ing. </w:t>
          </w:r>
          <w:r w:rsidR="009F5386">
            <w:rPr>
              <w:noProof/>
              <w:sz w:val="16"/>
              <w:szCs w:val="16"/>
              <w:lang w:eastAsia="cs-CZ"/>
            </w:rPr>
            <w:t>Josef Koštoval</w:t>
          </w:r>
          <w:r>
            <w:rPr>
              <w:noProof/>
              <w:sz w:val="16"/>
              <w:szCs w:val="16"/>
              <w:lang w:eastAsia="cs-CZ"/>
            </w:rPr>
            <w:t xml:space="preserve"> </w:t>
          </w:r>
        </w:p>
      </w:tc>
      <w:tc>
        <w:tcPr>
          <w:tcW w:w="1276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2A50DB11" w14:textId="77777777" w:rsidR="00665D6D" w:rsidRPr="00524CC7" w:rsidRDefault="00665D6D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lang w:eastAsia="cs-CZ"/>
            </w:rPr>
            <w:t>HIP:</w:t>
          </w:r>
        </w:p>
      </w:tc>
      <w:tc>
        <w:tcPr>
          <w:tcW w:w="2268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7AF0D504" w14:textId="77777777" w:rsidR="00665D6D" w:rsidRPr="00524CC7" w:rsidRDefault="00665D6D" w:rsidP="00881387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 xml:space="preserve">Ing. </w:t>
          </w:r>
          <w:r w:rsidR="00881387">
            <w:rPr>
              <w:noProof/>
              <w:sz w:val="16"/>
              <w:szCs w:val="16"/>
              <w:lang w:eastAsia="cs-CZ"/>
            </w:rPr>
            <w:t>Přemysl Kól PhD</w:t>
          </w:r>
          <w:r>
            <w:rPr>
              <w:noProof/>
              <w:sz w:val="16"/>
              <w:szCs w:val="16"/>
              <w:lang w:eastAsia="cs-CZ"/>
            </w:rPr>
            <w:t xml:space="preserve"> </w:t>
          </w:r>
        </w:p>
      </w:tc>
    </w:tr>
    <w:tr w:rsidR="00665D6D" w:rsidRPr="00524CC7" w14:paraId="10D8904C" w14:textId="77777777" w:rsidTr="00665D6D">
      <w:trPr>
        <w:trHeight w:val="284"/>
      </w:trPr>
      <w:tc>
        <w:tcPr>
          <w:tcW w:w="985" w:type="dxa"/>
          <w:tcBorders>
            <w:top w:val="single" w:sz="6" w:space="0" w:color="auto"/>
            <w:bottom w:val="single" w:sz="18" w:space="0" w:color="auto"/>
          </w:tcBorders>
          <w:vAlign w:val="center"/>
        </w:tcPr>
        <w:p w14:paraId="347241C7" w14:textId="77777777" w:rsidR="00665D6D" w:rsidRPr="00524CC7" w:rsidRDefault="00665D6D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>Datum</w:t>
          </w:r>
          <w:r>
            <w:rPr>
              <w:noProof/>
              <w:sz w:val="16"/>
              <w:szCs w:val="16"/>
              <w:lang w:eastAsia="cs-CZ"/>
            </w:rPr>
            <w:t>:</w:t>
          </w:r>
        </w:p>
      </w:tc>
      <w:tc>
        <w:tcPr>
          <w:tcW w:w="1842" w:type="dxa"/>
          <w:tcBorders>
            <w:top w:val="single" w:sz="6" w:space="0" w:color="auto"/>
            <w:bottom w:val="single" w:sz="18" w:space="0" w:color="auto"/>
          </w:tcBorders>
          <w:vAlign w:val="center"/>
        </w:tcPr>
        <w:p w14:paraId="1E523DF8" w14:textId="77777777" w:rsidR="00665D6D" w:rsidRPr="00524CC7" w:rsidRDefault="009F5386" w:rsidP="007B067D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szCs w:val="16"/>
              <w:lang w:eastAsia="cs-CZ"/>
            </w:rPr>
            <w:t>02/</w:t>
          </w:r>
          <w:r w:rsidR="00665D6D">
            <w:rPr>
              <w:noProof/>
              <w:sz w:val="16"/>
              <w:szCs w:val="16"/>
              <w:lang w:eastAsia="cs-CZ"/>
            </w:rPr>
            <w:t>2</w:t>
          </w:r>
          <w:r>
            <w:rPr>
              <w:noProof/>
              <w:sz w:val="16"/>
              <w:szCs w:val="16"/>
              <w:lang w:eastAsia="cs-CZ"/>
            </w:rPr>
            <w:t>020</w:t>
          </w:r>
        </w:p>
      </w:tc>
      <w:tc>
        <w:tcPr>
          <w:tcW w:w="1134" w:type="dxa"/>
          <w:tcBorders>
            <w:top w:val="single" w:sz="6" w:space="0" w:color="auto"/>
            <w:bottom w:val="single" w:sz="18" w:space="0" w:color="auto"/>
          </w:tcBorders>
          <w:vAlign w:val="center"/>
        </w:tcPr>
        <w:p w14:paraId="5420224B" w14:textId="77777777" w:rsidR="00665D6D" w:rsidRPr="00524CC7" w:rsidRDefault="00665D6D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>Stupeň dok.</w:t>
          </w:r>
          <w:r>
            <w:rPr>
              <w:noProof/>
              <w:sz w:val="16"/>
              <w:szCs w:val="16"/>
              <w:lang w:eastAsia="cs-CZ"/>
            </w:rPr>
            <w:t>:</w:t>
          </w:r>
        </w:p>
      </w:tc>
      <w:tc>
        <w:tcPr>
          <w:tcW w:w="1843" w:type="dxa"/>
          <w:tcBorders>
            <w:top w:val="single" w:sz="6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6FD070DC" w14:textId="77777777" w:rsidR="00665D6D" w:rsidRPr="00524CC7" w:rsidRDefault="00665D6D" w:rsidP="00B731DC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 w:rsidRPr="00524CC7">
            <w:rPr>
              <w:noProof/>
              <w:sz w:val="16"/>
              <w:szCs w:val="16"/>
              <w:lang w:eastAsia="cs-CZ"/>
            </w:rPr>
            <w:t>D</w:t>
          </w:r>
          <w:r>
            <w:rPr>
              <w:noProof/>
              <w:sz w:val="16"/>
              <w:szCs w:val="16"/>
              <w:lang w:eastAsia="cs-CZ"/>
            </w:rPr>
            <w:t>BP</w:t>
          </w:r>
        </w:p>
      </w:tc>
      <w:tc>
        <w:tcPr>
          <w:tcW w:w="1276" w:type="dxa"/>
          <w:tcBorders>
            <w:top w:val="single" w:sz="6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2A868B0E" w14:textId="77777777" w:rsidR="00665D6D" w:rsidRPr="00524CC7" w:rsidRDefault="00665D6D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szCs w:val="16"/>
              <w:lang w:eastAsia="cs-CZ"/>
            </w:rPr>
            <w:t>Číslo zak.:</w:t>
          </w:r>
        </w:p>
      </w:tc>
      <w:tc>
        <w:tcPr>
          <w:tcW w:w="2268" w:type="dxa"/>
          <w:tcBorders>
            <w:top w:val="single" w:sz="6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0691578E" w14:textId="77777777" w:rsidR="00665D6D" w:rsidRPr="00524CC7" w:rsidRDefault="00665D6D" w:rsidP="00410798">
          <w:pPr>
            <w:spacing w:after="0" w:line="240" w:lineRule="auto"/>
            <w:rPr>
              <w:noProof/>
              <w:sz w:val="16"/>
              <w:szCs w:val="16"/>
              <w:lang w:eastAsia="cs-CZ"/>
            </w:rPr>
          </w:pPr>
          <w:r>
            <w:rPr>
              <w:noProof/>
              <w:sz w:val="16"/>
              <w:szCs w:val="16"/>
              <w:lang w:eastAsia="cs-CZ"/>
            </w:rPr>
            <w:t>Z19113</w:t>
          </w:r>
        </w:p>
      </w:tc>
    </w:tr>
    <w:tr w:rsidR="00665D6D" w:rsidRPr="00524CC7" w14:paraId="164C69A4" w14:textId="77777777" w:rsidTr="00665D6D">
      <w:trPr>
        <w:trHeight w:val="284"/>
      </w:trPr>
      <w:tc>
        <w:tcPr>
          <w:tcW w:w="985" w:type="dxa"/>
          <w:tcBorders>
            <w:top w:val="single" w:sz="18" w:space="0" w:color="auto"/>
            <w:left w:val="single" w:sz="18" w:space="0" w:color="auto"/>
            <w:bottom w:val="single" w:sz="18" w:space="0" w:color="auto"/>
          </w:tcBorders>
          <w:vAlign w:val="center"/>
        </w:tcPr>
        <w:p w14:paraId="5F245F71" w14:textId="77777777" w:rsidR="00665D6D" w:rsidRPr="00524CC7" w:rsidRDefault="00665D6D" w:rsidP="00410798">
          <w:pPr>
            <w:spacing w:after="0" w:line="240" w:lineRule="auto"/>
            <w:rPr>
              <w:noProof/>
              <w:sz w:val="16"/>
              <w:lang w:eastAsia="cs-CZ"/>
            </w:rPr>
          </w:pPr>
          <w:r w:rsidRPr="00524CC7">
            <w:rPr>
              <w:noProof/>
              <w:sz w:val="16"/>
              <w:lang w:eastAsia="cs-CZ"/>
            </w:rPr>
            <w:t>Číslo dok</w:t>
          </w:r>
          <w:r>
            <w:rPr>
              <w:noProof/>
              <w:sz w:val="16"/>
              <w:lang w:eastAsia="cs-CZ"/>
            </w:rPr>
            <w:t>.:</w:t>
          </w:r>
        </w:p>
      </w:tc>
      <w:tc>
        <w:tcPr>
          <w:tcW w:w="1842" w:type="dxa"/>
          <w:tcBorders>
            <w:top w:val="single" w:sz="18" w:space="0" w:color="auto"/>
            <w:bottom w:val="single" w:sz="18" w:space="0" w:color="auto"/>
          </w:tcBorders>
          <w:vAlign w:val="center"/>
        </w:tcPr>
        <w:p w14:paraId="116E55DC" w14:textId="77777777" w:rsidR="00665D6D" w:rsidRPr="00524CC7" w:rsidRDefault="00D671DC" w:rsidP="00F10179">
          <w:pPr>
            <w:spacing w:after="0" w:line="240" w:lineRule="auto"/>
            <w:rPr>
              <w:noProof/>
              <w:sz w:val="16"/>
              <w:lang w:eastAsia="cs-CZ"/>
            </w:rPr>
          </w:pPr>
          <w:r>
            <w:rPr>
              <w:noProof/>
              <w:sz w:val="16"/>
              <w:lang w:eastAsia="cs-CZ"/>
            </w:rPr>
            <w:t>Z</w:t>
          </w:r>
          <w:r w:rsidR="00665D6D" w:rsidRPr="00524CC7">
            <w:rPr>
              <w:noProof/>
              <w:sz w:val="16"/>
              <w:lang w:eastAsia="cs-CZ"/>
            </w:rPr>
            <w:t>1</w:t>
          </w:r>
          <w:r w:rsidR="00665D6D">
            <w:rPr>
              <w:noProof/>
              <w:sz w:val="16"/>
              <w:lang w:eastAsia="cs-CZ"/>
            </w:rPr>
            <w:t>9113</w:t>
          </w:r>
          <w:r w:rsidR="00665D6D" w:rsidRPr="00524CC7">
            <w:rPr>
              <w:noProof/>
              <w:sz w:val="16"/>
              <w:lang w:eastAsia="cs-CZ"/>
            </w:rPr>
            <w:t>-</w:t>
          </w:r>
          <w:r w:rsidR="00665D6D">
            <w:rPr>
              <w:noProof/>
              <w:sz w:val="16"/>
              <w:lang w:eastAsia="cs-CZ"/>
            </w:rPr>
            <w:t>DBP-</w:t>
          </w:r>
          <w:r w:rsidR="00F10179">
            <w:rPr>
              <w:noProof/>
              <w:sz w:val="16"/>
              <w:lang w:eastAsia="cs-CZ"/>
            </w:rPr>
            <w:t>D</w:t>
          </w:r>
          <w:r w:rsidR="00665D6D">
            <w:rPr>
              <w:noProof/>
              <w:sz w:val="16"/>
              <w:lang w:eastAsia="cs-CZ"/>
            </w:rPr>
            <w:t>-00</w:t>
          </w:r>
          <w:r w:rsidR="008F68E6">
            <w:rPr>
              <w:noProof/>
              <w:sz w:val="16"/>
              <w:lang w:eastAsia="cs-CZ"/>
            </w:rPr>
            <w:t>0</w:t>
          </w:r>
          <w:r w:rsidR="00665D6D">
            <w:rPr>
              <w:noProof/>
              <w:sz w:val="16"/>
              <w:lang w:eastAsia="cs-CZ"/>
            </w:rPr>
            <w:t xml:space="preserve"> </w:t>
          </w:r>
        </w:p>
      </w:tc>
      <w:tc>
        <w:tcPr>
          <w:tcW w:w="1134" w:type="dxa"/>
          <w:tcBorders>
            <w:top w:val="single" w:sz="18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50E08A4D" w14:textId="77777777" w:rsidR="00665D6D" w:rsidRPr="00524CC7" w:rsidRDefault="00665D6D" w:rsidP="00410798">
          <w:pPr>
            <w:spacing w:after="0" w:line="240" w:lineRule="auto"/>
            <w:rPr>
              <w:noProof/>
              <w:sz w:val="16"/>
              <w:lang w:eastAsia="cs-CZ"/>
            </w:rPr>
          </w:pPr>
          <w:r w:rsidRPr="00524CC7">
            <w:rPr>
              <w:noProof/>
              <w:sz w:val="16"/>
              <w:lang w:eastAsia="cs-CZ"/>
            </w:rPr>
            <w:t>Revize</w:t>
          </w:r>
        </w:p>
      </w:tc>
      <w:tc>
        <w:tcPr>
          <w:tcW w:w="1843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51267A59" w14:textId="77777777" w:rsidR="00665D6D" w:rsidRPr="00524CC7" w:rsidRDefault="00665D6D" w:rsidP="00410798">
          <w:pPr>
            <w:spacing w:after="0" w:line="240" w:lineRule="auto"/>
            <w:rPr>
              <w:bCs/>
              <w:noProof/>
              <w:sz w:val="16"/>
              <w:lang w:eastAsia="cs-CZ"/>
            </w:rPr>
          </w:pPr>
          <w:r>
            <w:rPr>
              <w:bCs/>
              <w:noProof/>
              <w:sz w:val="16"/>
              <w:lang w:eastAsia="cs-CZ"/>
            </w:rPr>
            <w:t>-</w:t>
          </w:r>
        </w:p>
      </w:tc>
      <w:tc>
        <w:tcPr>
          <w:tcW w:w="1276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4" w:space="0" w:color="auto"/>
          </w:tcBorders>
          <w:vAlign w:val="center"/>
        </w:tcPr>
        <w:p w14:paraId="4C308205" w14:textId="77777777" w:rsidR="00665D6D" w:rsidRPr="00524CC7" w:rsidRDefault="00665D6D" w:rsidP="00410798">
          <w:pPr>
            <w:spacing w:after="0" w:line="240" w:lineRule="auto"/>
            <w:rPr>
              <w:bCs/>
              <w:noProof/>
              <w:sz w:val="16"/>
              <w:lang w:eastAsia="cs-CZ"/>
            </w:rPr>
          </w:pPr>
          <w:r w:rsidRPr="00524CC7">
            <w:rPr>
              <w:bCs/>
              <w:noProof/>
              <w:sz w:val="16"/>
              <w:lang w:eastAsia="cs-CZ"/>
            </w:rPr>
            <w:t>Str</w:t>
          </w:r>
          <w:r>
            <w:rPr>
              <w:bCs/>
              <w:noProof/>
              <w:sz w:val="16"/>
              <w:lang w:eastAsia="cs-CZ"/>
            </w:rPr>
            <w:t>.</w:t>
          </w:r>
          <w:r w:rsidRPr="00524CC7">
            <w:rPr>
              <w:bCs/>
              <w:noProof/>
              <w:sz w:val="16"/>
              <w:lang w:eastAsia="cs-CZ"/>
            </w:rPr>
            <w:t>/poč</w:t>
          </w:r>
          <w:r>
            <w:rPr>
              <w:bCs/>
              <w:noProof/>
              <w:sz w:val="16"/>
              <w:lang w:eastAsia="cs-CZ"/>
            </w:rPr>
            <w:t>.</w:t>
          </w:r>
          <w:r w:rsidRPr="00524CC7">
            <w:rPr>
              <w:bCs/>
              <w:noProof/>
              <w:sz w:val="16"/>
              <w:lang w:eastAsia="cs-CZ"/>
            </w:rPr>
            <w:t xml:space="preserve"> str</w:t>
          </w:r>
          <w:r>
            <w:rPr>
              <w:bCs/>
              <w:noProof/>
              <w:sz w:val="16"/>
              <w:lang w:eastAsia="cs-CZ"/>
            </w:rPr>
            <w:t>an:</w:t>
          </w:r>
        </w:p>
      </w:tc>
      <w:tc>
        <w:tcPr>
          <w:tcW w:w="2268" w:type="dxa"/>
          <w:tcBorders>
            <w:top w:val="single" w:sz="18" w:space="0" w:color="auto"/>
            <w:left w:val="single" w:sz="4" w:space="0" w:color="auto"/>
            <w:bottom w:val="single" w:sz="18" w:space="0" w:color="auto"/>
            <w:right w:val="single" w:sz="18" w:space="0" w:color="auto"/>
          </w:tcBorders>
          <w:vAlign w:val="center"/>
        </w:tcPr>
        <w:p w14:paraId="7BF8E3E9" w14:textId="77777777" w:rsidR="00665D6D" w:rsidRPr="00524CC7" w:rsidRDefault="00075612" w:rsidP="00410798">
          <w:pPr>
            <w:spacing w:after="0" w:line="240" w:lineRule="auto"/>
            <w:jc w:val="right"/>
            <w:rPr>
              <w:bCs/>
              <w:noProof/>
              <w:sz w:val="16"/>
              <w:lang w:eastAsia="cs-CZ"/>
            </w:rPr>
          </w:pPr>
          <w:r w:rsidRPr="00524CC7">
            <w:rPr>
              <w:noProof/>
              <w:sz w:val="16"/>
              <w:lang w:eastAsia="cs-CZ"/>
            </w:rPr>
            <w:fldChar w:fldCharType="begin"/>
          </w:r>
          <w:r w:rsidR="00665D6D" w:rsidRPr="00524CC7">
            <w:rPr>
              <w:noProof/>
              <w:sz w:val="16"/>
              <w:lang w:eastAsia="cs-CZ"/>
            </w:rPr>
            <w:instrText xml:space="preserve"> PAGE </w:instrText>
          </w:r>
          <w:r w:rsidRPr="00524CC7">
            <w:rPr>
              <w:noProof/>
              <w:sz w:val="16"/>
              <w:lang w:eastAsia="cs-CZ"/>
            </w:rPr>
            <w:fldChar w:fldCharType="separate"/>
          </w:r>
          <w:r w:rsidR="00D671DC">
            <w:rPr>
              <w:noProof/>
              <w:sz w:val="16"/>
              <w:lang w:eastAsia="cs-CZ"/>
            </w:rPr>
            <w:t>1</w:t>
          </w:r>
          <w:r w:rsidRPr="00524CC7">
            <w:rPr>
              <w:noProof/>
              <w:sz w:val="16"/>
              <w:lang w:eastAsia="cs-CZ"/>
            </w:rPr>
            <w:fldChar w:fldCharType="end"/>
          </w:r>
          <w:r w:rsidR="00665D6D" w:rsidRPr="00524CC7">
            <w:rPr>
              <w:noProof/>
              <w:sz w:val="16"/>
              <w:lang w:eastAsia="cs-CZ"/>
            </w:rPr>
            <w:t>/</w:t>
          </w:r>
          <w:r w:rsidRPr="00524CC7">
            <w:rPr>
              <w:noProof/>
              <w:sz w:val="16"/>
              <w:lang w:eastAsia="cs-CZ"/>
            </w:rPr>
            <w:fldChar w:fldCharType="begin"/>
          </w:r>
          <w:r w:rsidR="00665D6D" w:rsidRPr="00524CC7">
            <w:rPr>
              <w:noProof/>
              <w:sz w:val="16"/>
              <w:lang w:eastAsia="cs-CZ"/>
            </w:rPr>
            <w:instrText xml:space="preserve"> NUMPAGES </w:instrText>
          </w:r>
          <w:r w:rsidRPr="00524CC7">
            <w:rPr>
              <w:noProof/>
              <w:sz w:val="16"/>
              <w:lang w:eastAsia="cs-CZ"/>
            </w:rPr>
            <w:fldChar w:fldCharType="separate"/>
          </w:r>
          <w:r w:rsidR="00D671DC">
            <w:rPr>
              <w:noProof/>
              <w:sz w:val="16"/>
              <w:lang w:eastAsia="cs-CZ"/>
            </w:rPr>
            <w:t>11</w:t>
          </w:r>
          <w:r w:rsidRPr="00524CC7">
            <w:rPr>
              <w:noProof/>
              <w:sz w:val="16"/>
              <w:lang w:eastAsia="cs-CZ"/>
            </w:rPr>
            <w:fldChar w:fldCharType="end"/>
          </w:r>
        </w:p>
      </w:tc>
    </w:tr>
  </w:tbl>
  <w:p w14:paraId="0C7D8622" w14:textId="77777777" w:rsidR="00665D6D" w:rsidRDefault="00665D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1C237A" w14:textId="77777777" w:rsidR="00692EB2" w:rsidRDefault="00692EB2" w:rsidP="00887574">
      <w:pPr>
        <w:spacing w:after="0" w:line="240" w:lineRule="auto"/>
      </w:pPr>
      <w:r>
        <w:separator/>
      </w:r>
    </w:p>
  </w:footnote>
  <w:footnote w:type="continuationSeparator" w:id="0">
    <w:p w14:paraId="26AFA54A" w14:textId="77777777" w:rsidR="00692EB2" w:rsidRDefault="00692EB2" w:rsidP="0088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63178" w14:textId="77777777" w:rsidR="00665D6D" w:rsidRDefault="00665D6D" w:rsidP="00410798">
    <w:r>
      <w:rPr>
        <w:noProof/>
        <w:sz w:val="16"/>
        <w:szCs w:val="16"/>
        <w:lang w:eastAsia="cs-CZ"/>
      </w:rPr>
      <w:drawing>
        <wp:anchor distT="0" distB="0" distL="114300" distR="114300" simplePos="0" relativeHeight="251659264" behindDoc="1" locked="0" layoutInCell="1" allowOverlap="1" wp14:anchorId="44524E70" wp14:editId="2497EC8A">
          <wp:simplePos x="0" y="0"/>
          <wp:positionH relativeFrom="column">
            <wp:posOffset>-65310</wp:posOffset>
          </wp:positionH>
          <wp:positionV relativeFrom="paragraph">
            <wp:posOffset>209550</wp:posOffset>
          </wp:positionV>
          <wp:extent cx="1340285" cy="547868"/>
          <wp:effectExtent l="0" t="0" r="0" b="5080"/>
          <wp:wrapNone/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285" cy="5478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9209" w:type="dxa"/>
      <w:tblBorders>
        <w:top w:val="none" w:sz="0" w:space="0" w:color="auto"/>
        <w:left w:val="none" w:sz="0" w:space="0" w:color="auto"/>
        <w:bottom w:val="single" w:sz="4" w:space="0" w:color="0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4635"/>
      <w:gridCol w:w="1554"/>
    </w:tblGrid>
    <w:tr w:rsidR="00665D6D" w14:paraId="0567703C" w14:textId="77777777" w:rsidTr="00665D6D">
      <w:tc>
        <w:tcPr>
          <w:tcW w:w="3020" w:type="dxa"/>
        </w:tcPr>
        <w:p w14:paraId="45A4B743" w14:textId="77777777" w:rsidR="00665D6D" w:rsidRDefault="00665D6D" w:rsidP="00410798">
          <w:pPr>
            <w:pStyle w:val="Zhlav"/>
          </w:pPr>
          <w:bookmarkStart w:id="18" w:name="_Hlk27388092"/>
        </w:p>
        <w:p w14:paraId="5B176A0B" w14:textId="77777777" w:rsidR="00665D6D" w:rsidRPr="00872B35" w:rsidRDefault="00665D6D" w:rsidP="00410798">
          <w:pPr>
            <w:ind w:firstLine="708"/>
          </w:pPr>
        </w:p>
      </w:tc>
      <w:tc>
        <w:tcPr>
          <w:tcW w:w="4635" w:type="dxa"/>
        </w:tcPr>
        <w:p w14:paraId="2C4C06A2" w14:textId="77777777" w:rsidR="00665D6D" w:rsidRDefault="00665D6D" w:rsidP="00410798">
          <w:pPr>
            <w:pStyle w:val="Zhlav"/>
          </w:pPr>
        </w:p>
      </w:tc>
      <w:tc>
        <w:tcPr>
          <w:tcW w:w="1554" w:type="dxa"/>
          <w:vAlign w:val="center"/>
        </w:tcPr>
        <w:p w14:paraId="7BA73822" w14:textId="77777777" w:rsidR="00665D6D" w:rsidRPr="003C217B" w:rsidRDefault="00665D6D" w:rsidP="00410798">
          <w:pPr>
            <w:ind w:right="-215"/>
            <w:rPr>
              <w:rFonts w:cs="Arial"/>
              <w:b/>
              <w:noProof/>
              <w:sz w:val="12"/>
              <w:szCs w:val="12"/>
            </w:rPr>
          </w:pPr>
          <w:r w:rsidRPr="003C217B">
            <w:rPr>
              <w:rFonts w:cs="Arial"/>
              <w:b/>
              <w:noProof/>
              <w:sz w:val="12"/>
              <w:szCs w:val="12"/>
            </w:rPr>
            <w:t>TENZA, a.s.</w:t>
          </w:r>
        </w:p>
        <w:p w14:paraId="592174E6" w14:textId="77777777" w:rsidR="00665D6D" w:rsidRPr="003C217B" w:rsidRDefault="00665D6D" w:rsidP="00410798">
          <w:pPr>
            <w:ind w:right="-215"/>
            <w:rPr>
              <w:rFonts w:cs="Arial"/>
              <w:noProof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Svatopetrská 35/7</w:t>
          </w:r>
        </w:p>
        <w:p w14:paraId="738E81D4" w14:textId="77777777" w:rsidR="00665D6D" w:rsidRPr="003C217B" w:rsidRDefault="00665D6D" w:rsidP="00410798">
          <w:pPr>
            <w:pStyle w:val="Zhlav"/>
            <w:rPr>
              <w:rFonts w:cs="Arial"/>
              <w:noProof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617 00 Brno</w:t>
          </w:r>
        </w:p>
        <w:p w14:paraId="3D179FE5" w14:textId="77777777" w:rsidR="00665D6D" w:rsidRPr="003C217B" w:rsidRDefault="00665D6D" w:rsidP="00410798">
          <w:pPr>
            <w:ind w:right="-215"/>
            <w:rPr>
              <w:rFonts w:cs="Arial"/>
              <w:noProof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tel.: +420 545 539 339</w:t>
          </w:r>
        </w:p>
        <w:p w14:paraId="4E5DF406" w14:textId="77777777" w:rsidR="00665D6D" w:rsidRPr="003C217B" w:rsidRDefault="00665D6D" w:rsidP="00410798">
          <w:pPr>
            <w:pStyle w:val="Zhlav"/>
            <w:rPr>
              <w:rFonts w:cs="Arial"/>
              <w:sz w:val="12"/>
              <w:szCs w:val="12"/>
            </w:rPr>
          </w:pPr>
          <w:r w:rsidRPr="003C217B">
            <w:rPr>
              <w:rFonts w:cs="Arial"/>
              <w:noProof/>
              <w:sz w:val="12"/>
              <w:szCs w:val="12"/>
            </w:rPr>
            <w:t>e-mail: tenza@tenza.cz</w:t>
          </w:r>
        </w:p>
      </w:tc>
    </w:tr>
    <w:bookmarkEnd w:id="18"/>
  </w:tbl>
  <w:p w14:paraId="6C497068" w14:textId="77777777" w:rsidR="00665D6D" w:rsidRDefault="00665D6D" w:rsidP="004107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BA7"/>
    <w:multiLevelType w:val="hybridMultilevel"/>
    <w:tmpl w:val="1BEEE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B6D40"/>
    <w:multiLevelType w:val="hybridMultilevel"/>
    <w:tmpl w:val="7592CB6E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DA3236"/>
    <w:multiLevelType w:val="hybridMultilevel"/>
    <w:tmpl w:val="1FFC5C2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451F4"/>
    <w:multiLevelType w:val="hybridMultilevel"/>
    <w:tmpl w:val="68306FFC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45017DF9"/>
    <w:multiLevelType w:val="hybridMultilevel"/>
    <w:tmpl w:val="1834FD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B77C3"/>
    <w:multiLevelType w:val="hybridMultilevel"/>
    <w:tmpl w:val="84DC7198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9C740B"/>
    <w:multiLevelType w:val="hybridMultilevel"/>
    <w:tmpl w:val="554A4984"/>
    <w:lvl w:ilvl="0" w:tplc="040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84C5BFC"/>
    <w:multiLevelType w:val="hybridMultilevel"/>
    <w:tmpl w:val="245885F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A2096"/>
    <w:multiLevelType w:val="hybridMultilevel"/>
    <w:tmpl w:val="9F0E4D0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8033A"/>
    <w:multiLevelType w:val="hybridMultilevel"/>
    <w:tmpl w:val="D9ECC91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11571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577"/>
    <w:rsid w:val="00001FF0"/>
    <w:rsid w:val="00024AFC"/>
    <w:rsid w:val="00027AC2"/>
    <w:rsid w:val="00031CA8"/>
    <w:rsid w:val="000346FA"/>
    <w:rsid w:val="00035674"/>
    <w:rsid w:val="00050A15"/>
    <w:rsid w:val="00060EE4"/>
    <w:rsid w:val="00065AF9"/>
    <w:rsid w:val="000671D5"/>
    <w:rsid w:val="000737DC"/>
    <w:rsid w:val="00075612"/>
    <w:rsid w:val="00082F3E"/>
    <w:rsid w:val="00092387"/>
    <w:rsid w:val="0009652E"/>
    <w:rsid w:val="0009701D"/>
    <w:rsid w:val="00097165"/>
    <w:rsid w:val="000A4EDF"/>
    <w:rsid w:val="000B02EC"/>
    <w:rsid w:val="000B3DDA"/>
    <w:rsid w:val="000B5036"/>
    <w:rsid w:val="000B5629"/>
    <w:rsid w:val="000D727A"/>
    <w:rsid w:val="000E11E9"/>
    <w:rsid w:val="000E306C"/>
    <w:rsid w:val="00104140"/>
    <w:rsid w:val="00117C45"/>
    <w:rsid w:val="001278FA"/>
    <w:rsid w:val="00135093"/>
    <w:rsid w:val="00137837"/>
    <w:rsid w:val="00155199"/>
    <w:rsid w:val="001603AA"/>
    <w:rsid w:val="00172DC3"/>
    <w:rsid w:val="00186330"/>
    <w:rsid w:val="00190276"/>
    <w:rsid w:val="001924D9"/>
    <w:rsid w:val="001941DB"/>
    <w:rsid w:val="00196222"/>
    <w:rsid w:val="001A0585"/>
    <w:rsid w:val="001B372D"/>
    <w:rsid w:val="001B6322"/>
    <w:rsid w:val="001C1C56"/>
    <w:rsid w:val="001C5CD1"/>
    <w:rsid w:val="001E01FA"/>
    <w:rsid w:val="001F011A"/>
    <w:rsid w:val="001F0DB3"/>
    <w:rsid w:val="001F62D4"/>
    <w:rsid w:val="0020323E"/>
    <w:rsid w:val="0021370A"/>
    <w:rsid w:val="00217963"/>
    <w:rsid w:val="00217985"/>
    <w:rsid w:val="00264F2E"/>
    <w:rsid w:val="00271E37"/>
    <w:rsid w:val="0027229C"/>
    <w:rsid w:val="00282412"/>
    <w:rsid w:val="002A3C8E"/>
    <w:rsid w:val="002B0CD9"/>
    <w:rsid w:val="002C3049"/>
    <w:rsid w:val="002C4D07"/>
    <w:rsid w:val="002D28CD"/>
    <w:rsid w:val="002E0315"/>
    <w:rsid w:val="002E118F"/>
    <w:rsid w:val="002E2899"/>
    <w:rsid w:val="00300038"/>
    <w:rsid w:val="00300611"/>
    <w:rsid w:val="00314A7D"/>
    <w:rsid w:val="00317836"/>
    <w:rsid w:val="00317BB1"/>
    <w:rsid w:val="0032187E"/>
    <w:rsid w:val="0034325B"/>
    <w:rsid w:val="00350018"/>
    <w:rsid w:val="00350989"/>
    <w:rsid w:val="00354204"/>
    <w:rsid w:val="0035793F"/>
    <w:rsid w:val="003579F7"/>
    <w:rsid w:val="00360344"/>
    <w:rsid w:val="00360BD2"/>
    <w:rsid w:val="00373A85"/>
    <w:rsid w:val="0037780F"/>
    <w:rsid w:val="00384F13"/>
    <w:rsid w:val="003B1FD8"/>
    <w:rsid w:val="003B4A05"/>
    <w:rsid w:val="003B6F19"/>
    <w:rsid w:val="003C0101"/>
    <w:rsid w:val="003D20C9"/>
    <w:rsid w:val="003D70C0"/>
    <w:rsid w:val="003E56AF"/>
    <w:rsid w:val="003F478F"/>
    <w:rsid w:val="004047D2"/>
    <w:rsid w:val="00410798"/>
    <w:rsid w:val="004135CB"/>
    <w:rsid w:val="00423866"/>
    <w:rsid w:val="00427BC5"/>
    <w:rsid w:val="0043730A"/>
    <w:rsid w:val="004525C7"/>
    <w:rsid w:val="004526F7"/>
    <w:rsid w:val="00461538"/>
    <w:rsid w:val="0046169C"/>
    <w:rsid w:val="00481961"/>
    <w:rsid w:val="004846BC"/>
    <w:rsid w:val="004855C8"/>
    <w:rsid w:val="00485B3B"/>
    <w:rsid w:val="004868C7"/>
    <w:rsid w:val="00494BB9"/>
    <w:rsid w:val="00496BB0"/>
    <w:rsid w:val="004A0B79"/>
    <w:rsid w:val="004A24BD"/>
    <w:rsid w:val="004B45B4"/>
    <w:rsid w:val="004C587F"/>
    <w:rsid w:val="004C6551"/>
    <w:rsid w:val="004F3499"/>
    <w:rsid w:val="0050664B"/>
    <w:rsid w:val="00527CC3"/>
    <w:rsid w:val="00550CE4"/>
    <w:rsid w:val="00555C87"/>
    <w:rsid w:val="0055782F"/>
    <w:rsid w:val="005658CF"/>
    <w:rsid w:val="00575906"/>
    <w:rsid w:val="00597DA2"/>
    <w:rsid w:val="005A7245"/>
    <w:rsid w:val="005A7BE2"/>
    <w:rsid w:val="005C090C"/>
    <w:rsid w:val="005D778C"/>
    <w:rsid w:val="005F7BD1"/>
    <w:rsid w:val="0060691F"/>
    <w:rsid w:val="0061746C"/>
    <w:rsid w:val="006301B3"/>
    <w:rsid w:val="00634185"/>
    <w:rsid w:val="006533A8"/>
    <w:rsid w:val="006538C4"/>
    <w:rsid w:val="00665D6D"/>
    <w:rsid w:val="00670181"/>
    <w:rsid w:val="00671E92"/>
    <w:rsid w:val="00674103"/>
    <w:rsid w:val="00692EB2"/>
    <w:rsid w:val="006A3F75"/>
    <w:rsid w:val="006A5577"/>
    <w:rsid w:val="006B1C88"/>
    <w:rsid w:val="006B756B"/>
    <w:rsid w:val="006D4C9C"/>
    <w:rsid w:val="006E3FCF"/>
    <w:rsid w:val="006F6F3D"/>
    <w:rsid w:val="00704E37"/>
    <w:rsid w:val="007051E2"/>
    <w:rsid w:val="0071004C"/>
    <w:rsid w:val="00712C21"/>
    <w:rsid w:val="00730BB3"/>
    <w:rsid w:val="007441E0"/>
    <w:rsid w:val="00750815"/>
    <w:rsid w:val="007662DA"/>
    <w:rsid w:val="00785233"/>
    <w:rsid w:val="00794177"/>
    <w:rsid w:val="00794BFC"/>
    <w:rsid w:val="00795C31"/>
    <w:rsid w:val="007B067D"/>
    <w:rsid w:val="007B4D89"/>
    <w:rsid w:val="007C3363"/>
    <w:rsid w:val="007C5C75"/>
    <w:rsid w:val="007D0DCD"/>
    <w:rsid w:val="007D6FAD"/>
    <w:rsid w:val="007D7894"/>
    <w:rsid w:val="007F512C"/>
    <w:rsid w:val="007F7C1C"/>
    <w:rsid w:val="00822516"/>
    <w:rsid w:val="00822E9E"/>
    <w:rsid w:val="00833DE7"/>
    <w:rsid w:val="00835EFA"/>
    <w:rsid w:val="00837526"/>
    <w:rsid w:val="008464DA"/>
    <w:rsid w:val="00847AD0"/>
    <w:rsid w:val="008526B3"/>
    <w:rsid w:val="00855221"/>
    <w:rsid w:val="00865C64"/>
    <w:rsid w:val="00881387"/>
    <w:rsid w:val="00887574"/>
    <w:rsid w:val="008A2725"/>
    <w:rsid w:val="008B50DD"/>
    <w:rsid w:val="008C6608"/>
    <w:rsid w:val="008E15CB"/>
    <w:rsid w:val="008E6C87"/>
    <w:rsid w:val="008E6FCB"/>
    <w:rsid w:val="008F68E6"/>
    <w:rsid w:val="00912A31"/>
    <w:rsid w:val="009307F4"/>
    <w:rsid w:val="00943565"/>
    <w:rsid w:val="009535C0"/>
    <w:rsid w:val="009571E1"/>
    <w:rsid w:val="00960609"/>
    <w:rsid w:val="00961CDF"/>
    <w:rsid w:val="00971763"/>
    <w:rsid w:val="00972038"/>
    <w:rsid w:val="0097441E"/>
    <w:rsid w:val="00987CCA"/>
    <w:rsid w:val="00992E26"/>
    <w:rsid w:val="00993B24"/>
    <w:rsid w:val="009C1C79"/>
    <w:rsid w:val="009C38C1"/>
    <w:rsid w:val="009D4935"/>
    <w:rsid w:val="009E0B00"/>
    <w:rsid w:val="009F5386"/>
    <w:rsid w:val="00A056BB"/>
    <w:rsid w:val="00A05F3A"/>
    <w:rsid w:val="00A121CB"/>
    <w:rsid w:val="00A1244D"/>
    <w:rsid w:val="00A23008"/>
    <w:rsid w:val="00A36DC2"/>
    <w:rsid w:val="00A50168"/>
    <w:rsid w:val="00A55B13"/>
    <w:rsid w:val="00A62971"/>
    <w:rsid w:val="00A639A9"/>
    <w:rsid w:val="00A71A04"/>
    <w:rsid w:val="00A73927"/>
    <w:rsid w:val="00A74566"/>
    <w:rsid w:val="00A867A5"/>
    <w:rsid w:val="00A8757C"/>
    <w:rsid w:val="00AA0B7B"/>
    <w:rsid w:val="00AA123C"/>
    <w:rsid w:val="00AA400D"/>
    <w:rsid w:val="00AA4A00"/>
    <w:rsid w:val="00AD454D"/>
    <w:rsid w:val="00AE70B8"/>
    <w:rsid w:val="00B0191B"/>
    <w:rsid w:val="00B13461"/>
    <w:rsid w:val="00B21379"/>
    <w:rsid w:val="00B40CF3"/>
    <w:rsid w:val="00B46CFA"/>
    <w:rsid w:val="00B479D0"/>
    <w:rsid w:val="00B621E7"/>
    <w:rsid w:val="00B66E1A"/>
    <w:rsid w:val="00B731DC"/>
    <w:rsid w:val="00B74917"/>
    <w:rsid w:val="00B76577"/>
    <w:rsid w:val="00B76BB7"/>
    <w:rsid w:val="00B83965"/>
    <w:rsid w:val="00BA0B74"/>
    <w:rsid w:val="00BA1824"/>
    <w:rsid w:val="00BB2DE1"/>
    <w:rsid w:val="00BD28B5"/>
    <w:rsid w:val="00BD342D"/>
    <w:rsid w:val="00BF0BDA"/>
    <w:rsid w:val="00BF10B6"/>
    <w:rsid w:val="00BF14B9"/>
    <w:rsid w:val="00BF4F4B"/>
    <w:rsid w:val="00C1744D"/>
    <w:rsid w:val="00C26331"/>
    <w:rsid w:val="00C31813"/>
    <w:rsid w:val="00C36AE3"/>
    <w:rsid w:val="00C41714"/>
    <w:rsid w:val="00C64813"/>
    <w:rsid w:val="00C65C3D"/>
    <w:rsid w:val="00C76798"/>
    <w:rsid w:val="00C76D03"/>
    <w:rsid w:val="00C826B6"/>
    <w:rsid w:val="00C834A2"/>
    <w:rsid w:val="00CA2159"/>
    <w:rsid w:val="00CB7056"/>
    <w:rsid w:val="00CC63FD"/>
    <w:rsid w:val="00CC7B51"/>
    <w:rsid w:val="00CE6BA5"/>
    <w:rsid w:val="00CE6FEA"/>
    <w:rsid w:val="00CF2ABA"/>
    <w:rsid w:val="00D004E7"/>
    <w:rsid w:val="00D113CE"/>
    <w:rsid w:val="00D219D2"/>
    <w:rsid w:val="00D62813"/>
    <w:rsid w:val="00D64656"/>
    <w:rsid w:val="00D671DC"/>
    <w:rsid w:val="00D730CB"/>
    <w:rsid w:val="00D748A2"/>
    <w:rsid w:val="00D81138"/>
    <w:rsid w:val="00D84A8F"/>
    <w:rsid w:val="00DC16BC"/>
    <w:rsid w:val="00DC2335"/>
    <w:rsid w:val="00DC5424"/>
    <w:rsid w:val="00DD06F5"/>
    <w:rsid w:val="00DF3192"/>
    <w:rsid w:val="00E0478A"/>
    <w:rsid w:val="00E0716E"/>
    <w:rsid w:val="00E1670D"/>
    <w:rsid w:val="00E16DAC"/>
    <w:rsid w:val="00E32FA4"/>
    <w:rsid w:val="00E33EA3"/>
    <w:rsid w:val="00E51E0C"/>
    <w:rsid w:val="00E52311"/>
    <w:rsid w:val="00E570A6"/>
    <w:rsid w:val="00E77179"/>
    <w:rsid w:val="00E831D4"/>
    <w:rsid w:val="00E91A0D"/>
    <w:rsid w:val="00EA13B1"/>
    <w:rsid w:val="00EA1CF7"/>
    <w:rsid w:val="00EA52F2"/>
    <w:rsid w:val="00ED0315"/>
    <w:rsid w:val="00ED7450"/>
    <w:rsid w:val="00EE7F9D"/>
    <w:rsid w:val="00EF292F"/>
    <w:rsid w:val="00EF7F08"/>
    <w:rsid w:val="00F0215F"/>
    <w:rsid w:val="00F02214"/>
    <w:rsid w:val="00F02833"/>
    <w:rsid w:val="00F03D1E"/>
    <w:rsid w:val="00F10179"/>
    <w:rsid w:val="00F17A4E"/>
    <w:rsid w:val="00F2188C"/>
    <w:rsid w:val="00F44616"/>
    <w:rsid w:val="00F44AB2"/>
    <w:rsid w:val="00F44E00"/>
    <w:rsid w:val="00F7340D"/>
    <w:rsid w:val="00F74894"/>
    <w:rsid w:val="00F85975"/>
    <w:rsid w:val="00FC5165"/>
    <w:rsid w:val="00FD5AC2"/>
    <w:rsid w:val="00FE0E42"/>
    <w:rsid w:val="00FE37AD"/>
    <w:rsid w:val="00FE4810"/>
    <w:rsid w:val="00FE6454"/>
    <w:rsid w:val="00FF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5713">
      <o:colormenu v:ext="edit" fillcolor="none"/>
    </o:shapedefaults>
    <o:shapelayout v:ext="edit">
      <o:idmap v:ext="edit" data="1"/>
    </o:shapelayout>
  </w:shapeDefaults>
  <w:decimalSymbol w:val=","/>
  <w:listSeparator w:val=";"/>
  <w14:docId w14:val="67592B5D"/>
  <w15:docId w15:val="{26EB9C9A-AD71-4809-BF49-2076C2E3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3049"/>
    <w:rPr>
      <w:rFonts w:ascii="Arial" w:hAnsi="Arial"/>
    </w:rPr>
  </w:style>
  <w:style w:type="paragraph" w:styleId="Nadpis1">
    <w:name w:val="heading 1"/>
    <w:basedOn w:val="Normln"/>
    <w:next w:val="Nadpis2"/>
    <w:link w:val="Nadpis1Char"/>
    <w:rsid w:val="00035674"/>
    <w:pPr>
      <w:keepNext/>
      <w:keepLines/>
      <w:spacing w:before="360" w:after="120" w:line="276" w:lineRule="auto"/>
      <w:jc w:val="both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118F"/>
    <w:pPr>
      <w:keepNext/>
      <w:keepLines/>
      <w:spacing w:before="6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757C"/>
    <w:pPr>
      <w:keepNext/>
      <w:keepLines/>
      <w:spacing w:before="120" w:after="0"/>
      <w:outlineLvl w:val="2"/>
    </w:pPr>
    <w:rPr>
      <w:rFonts w:eastAsiaTheme="majorEastAsia" w:cstheme="majorBidi"/>
      <w:b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aliases w:val="Titulní list"/>
    <w:basedOn w:val="Standardnpsmoodstavce"/>
    <w:uiPriority w:val="33"/>
    <w:rsid w:val="00887574"/>
    <w:rPr>
      <w:rFonts w:ascii="Arial" w:hAnsi="Arial"/>
      <w:b/>
      <w:bCs/>
      <w:smallCaps/>
      <w:spacing w:val="5"/>
      <w:sz w:val="32"/>
    </w:rPr>
  </w:style>
  <w:style w:type="paragraph" w:styleId="Zhlav">
    <w:name w:val="header"/>
    <w:basedOn w:val="Normln"/>
    <w:link w:val="ZhlavChar"/>
    <w:unhideWhenUsed/>
    <w:rsid w:val="0088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87574"/>
  </w:style>
  <w:style w:type="paragraph" w:styleId="Zpat">
    <w:name w:val="footer"/>
    <w:basedOn w:val="Normln"/>
    <w:link w:val="ZpatChar"/>
    <w:uiPriority w:val="99"/>
    <w:unhideWhenUsed/>
    <w:rsid w:val="0088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7574"/>
  </w:style>
  <w:style w:type="paragraph" w:styleId="Textbubliny">
    <w:name w:val="Balloon Text"/>
    <w:basedOn w:val="Normln"/>
    <w:link w:val="TextbublinyChar"/>
    <w:uiPriority w:val="99"/>
    <w:semiHidden/>
    <w:unhideWhenUsed/>
    <w:rsid w:val="00CF2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BA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035674"/>
    <w:rPr>
      <w:rFonts w:ascii="Arial Black" w:eastAsiaTheme="majorEastAsia" w:hAnsi="Arial Black" w:cstheme="majorBidi"/>
      <w:b/>
      <w:bCs/>
      <w:sz w:val="28"/>
      <w:szCs w:val="2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35674"/>
    <w:pPr>
      <w:numPr>
        <w:ilvl w:val="1"/>
      </w:numPr>
      <w:spacing w:before="120" w:after="120" w:line="276" w:lineRule="auto"/>
      <w:ind w:firstLine="340"/>
      <w:jc w:val="both"/>
    </w:pPr>
    <w:rPr>
      <w:rFonts w:ascii="Arial Black" w:eastAsiaTheme="majorEastAsia" w:hAnsi="Arial Black" w:cstheme="majorBidi"/>
      <w:b/>
      <w:iCs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035674"/>
    <w:rPr>
      <w:rFonts w:ascii="Arial Black" w:eastAsiaTheme="majorEastAsia" w:hAnsi="Arial Black" w:cstheme="majorBidi"/>
      <w:b/>
      <w:iCs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2E118F"/>
    <w:rPr>
      <w:rFonts w:ascii="Arial" w:eastAsiaTheme="majorEastAsia" w:hAnsi="Arial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757C"/>
    <w:rPr>
      <w:rFonts w:ascii="Arial" w:eastAsiaTheme="majorEastAsia" w:hAnsi="Arial" w:cstheme="majorBidi"/>
      <w:b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5A7245"/>
    <w:pPr>
      <w:spacing w:before="240" w:after="0" w:line="259" w:lineRule="auto"/>
      <w:jc w:val="left"/>
      <w:outlineLvl w:val="9"/>
    </w:pPr>
    <w:rPr>
      <w:rFonts w:ascii="Arial" w:hAnsi="Arial"/>
      <w:bCs w:val="0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047D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4047D2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4047D2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1603AA"/>
    <w:pPr>
      <w:spacing w:after="0" w:line="240" w:lineRule="auto"/>
    </w:pPr>
    <w:rPr>
      <w:rFonts w:ascii="Arial" w:hAnsi="Arial"/>
      <w:sz w:val="24"/>
    </w:rPr>
  </w:style>
  <w:style w:type="paragraph" w:customStyle="1" w:styleId="Normlntenzabezmezer">
    <w:name w:val="Normální tenza bez mezer"/>
    <w:basedOn w:val="Normln"/>
    <w:link w:val="NormlntenzabezmezerChar"/>
    <w:qFormat/>
    <w:rsid w:val="002C3049"/>
    <w:pPr>
      <w:spacing w:before="60" w:after="0"/>
      <w:jc w:val="both"/>
    </w:pPr>
    <w:rPr>
      <w:lang w:eastAsia="cs-CZ"/>
    </w:rPr>
  </w:style>
  <w:style w:type="table" w:styleId="Mkatabulky">
    <w:name w:val="Table Grid"/>
    <w:basedOn w:val="Normlntabulka"/>
    <w:uiPriority w:val="59"/>
    <w:rsid w:val="00A87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lntenzabezmezerChar">
    <w:name w:val="Normální tenza bez mezer Char"/>
    <w:basedOn w:val="Standardnpsmoodstavce"/>
    <w:link w:val="Normlntenzabezmezer"/>
    <w:rsid w:val="002C3049"/>
    <w:rPr>
      <w:rFonts w:ascii="Arial" w:hAnsi="Arial"/>
      <w:lang w:eastAsia="cs-CZ"/>
    </w:rPr>
  </w:style>
  <w:style w:type="paragraph" w:styleId="Odstavecseseznamem">
    <w:name w:val="List Paragraph"/>
    <w:basedOn w:val="Normln"/>
    <w:uiPriority w:val="34"/>
    <w:qFormat/>
    <w:rsid w:val="007F512C"/>
    <w:pPr>
      <w:spacing w:after="200" w:line="276" w:lineRule="auto"/>
      <w:ind w:left="720" w:firstLine="340"/>
      <w:contextualSpacing/>
      <w:jc w:val="both"/>
    </w:pPr>
    <w:rPr>
      <w:rFonts w:asciiTheme="minorHAnsi" w:hAnsiTheme="minorHAnsi"/>
    </w:rPr>
  </w:style>
  <w:style w:type="character" w:styleId="Siln">
    <w:name w:val="Strong"/>
    <w:basedOn w:val="Standardnpsmoodstavce"/>
    <w:uiPriority w:val="22"/>
    <w:qFormat/>
    <w:rsid w:val="00DD06F5"/>
    <w:rPr>
      <w:b/>
      <w:bCs/>
    </w:rPr>
  </w:style>
  <w:style w:type="character" w:customStyle="1" w:styleId="BezmezerChar">
    <w:name w:val="Bez mezer Char"/>
    <w:basedOn w:val="Standardnpsmoodstavce"/>
    <w:link w:val="Bezmezer"/>
    <w:uiPriority w:val="1"/>
    <w:rsid w:val="0034325B"/>
    <w:rPr>
      <w:rFonts w:ascii="Arial" w:hAnsi="Arial"/>
      <w:sz w:val="24"/>
    </w:rPr>
  </w:style>
  <w:style w:type="character" w:styleId="Odkazjemn">
    <w:name w:val="Subtle Reference"/>
    <w:basedOn w:val="Standardnpsmoodstavce"/>
    <w:uiPriority w:val="31"/>
    <w:qFormat/>
    <w:rsid w:val="00575906"/>
    <w:rPr>
      <w:smallCaps/>
      <w:color w:val="5A5A5A" w:themeColor="text1" w:themeTint="A5"/>
    </w:rPr>
  </w:style>
  <w:style w:type="paragraph" w:styleId="Titulek">
    <w:name w:val="caption"/>
    <w:basedOn w:val="Normln"/>
    <w:next w:val="Normln"/>
    <w:uiPriority w:val="35"/>
    <w:unhideWhenUsed/>
    <w:qFormat/>
    <w:rsid w:val="00E570A6"/>
    <w:pPr>
      <w:spacing w:after="200" w:line="240" w:lineRule="auto"/>
    </w:pPr>
    <w:rPr>
      <w:iCs/>
      <w:sz w:val="20"/>
      <w:szCs w:val="18"/>
    </w:rPr>
  </w:style>
  <w:style w:type="paragraph" w:styleId="Seznamobrzk">
    <w:name w:val="table of figures"/>
    <w:basedOn w:val="Normln"/>
    <w:next w:val="Normln"/>
    <w:uiPriority w:val="99"/>
    <w:unhideWhenUsed/>
    <w:rsid w:val="00D748A2"/>
    <w:pPr>
      <w:spacing w:after="0"/>
    </w:pPr>
  </w:style>
  <w:style w:type="paragraph" w:customStyle="1" w:styleId="Raztkonormln">
    <w:name w:val="Razítko normální"/>
    <w:basedOn w:val="Normln"/>
    <w:rsid w:val="00B13461"/>
    <w:pPr>
      <w:spacing w:after="200" w:line="240" w:lineRule="auto"/>
    </w:pPr>
    <w:rPr>
      <w:rFonts w:asciiTheme="minorHAnsi" w:hAnsiTheme="minorHAnsi"/>
      <w:sz w:val="16"/>
      <w:szCs w:val="40"/>
    </w:rPr>
  </w:style>
  <w:style w:type="paragraph" w:customStyle="1" w:styleId="Nadpistitulka">
    <w:name w:val="Nadpis titulka"/>
    <w:basedOn w:val="Normln"/>
    <w:qFormat/>
    <w:rsid w:val="00B13461"/>
    <w:pPr>
      <w:spacing w:after="200" w:line="0" w:lineRule="atLeast"/>
      <w:jc w:val="both"/>
    </w:pPr>
    <w:rPr>
      <w:rFonts w:asciiTheme="minorHAnsi" w:hAnsiTheme="minorHAnsi"/>
      <w:b/>
      <w:sz w:val="40"/>
    </w:rPr>
  </w:style>
  <w:style w:type="paragraph" w:customStyle="1" w:styleId="TPOOdstavec">
    <w:name w:val="TPO Odstavec"/>
    <w:basedOn w:val="Normln"/>
    <w:link w:val="TPOOdstavecChar"/>
    <w:qFormat/>
    <w:locked/>
    <w:rsid w:val="00794BFC"/>
    <w:pPr>
      <w:spacing w:after="120" w:line="240" w:lineRule="auto"/>
      <w:jc w:val="both"/>
    </w:pPr>
    <w:rPr>
      <w:rFonts w:ascii="Skoda Pro" w:eastAsia="Times New Roman" w:hAnsi="Skoda Pro" w:cs="Times New Roman"/>
      <w:szCs w:val="20"/>
      <w:lang w:eastAsia="cs-CZ"/>
    </w:rPr>
  </w:style>
  <w:style w:type="character" w:customStyle="1" w:styleId="TPOOdstavecChar">
    <w:name w:val="TPO Odstavec Char"/>
    <w:basedOn w:val="Standardnpsmoodstavce"/>
    <w:link w:val="TPOOdstavec"/>
    <w:rsid w:val="00794BFC"/>
    <w:rPr>
      <w:rFonts w:ascii="Skoda Pro" w:eastAsia="Times New Roman" w:hAnsi="Skoda Pro" w:cs="Times New Roman"/>
      <w:szCs w:val="20"/>
      <w:lang w:eastAsia="cs-CZ"/>
    </w:rPr>
  </w:style>
  <w:style w:type="paragraph" w:customStyle="1" w:styleId="Default">
    <w:name w:val="Default"/>
    <w:rsid w:val="00794B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Stylnadpis2">
    <w:name w:val="Styl nadpisů 2"/>
    <w:basedOn w:val="Normln"/>
    <w:rsid w:val="00794B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40C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0C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0CF3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C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CF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0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CAB78-30C7-4A14-90C8-96A71602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2328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Petr</dc:creator>
  <cp:lastModifiedBy>Koštoval Josef</cp:lastModifiedBy>
  <cp:revision>40</cp:revision>
  <cp:lastPrinted>2020-03-10T09:15:00Z</cp:lastPrinted>
  <dcterms:created xsi:type="dcterms:W3CDTF">2019-12-18T12:45:00Z</dcterms:created>
  <dcterms:modified xsi:type="dcterms:W3CDTF">2020-03-10T09:16:00Z</dcterms:modified>
</cp:coreProperties>
</file>